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3DD2E" w14:textId="6E2B91CC" w:rsidR="00405978" w:rsidRDefault="00405978">
      <w:r w:rsidRPr="00405978">
        <w:t xml:space="preserve">Cascavel, 14 de abril de 2026. Referência: Processo e-protocolo nº 23.808.471-7 Pregão Eletrônico 2042/2025 – UNIOESTE/HUOP Ementa: Análise de pedido de recurso da empresa Ageis Cme Serviços de Gerenciamento em Ester. De Materiais Ltda, CNPJ: 18.210.334/0001-55. I - DOS FATOS Trata-se de recurso enviado pela empresa Ageis Cme Serviços de Gerenciamento em Ester. De Materiais Ltda, CNPJ: 18.210.334/0001-55, na licitação modalidade Pregão Eletrônico, do Tipo Menor preço por lote, objetivando a contratação de empresa para Serviço de Locação de Caixas de Instrumental Cirúrgico, para atender a demanda do Hospital Universitário do Oeste do Paraná. Os fatos, bem como as contrarrazões da empresa Cirurtech Comércio e Manutenção de Materiais Cirúrgicos Ltda, CNPJ: 18.836.913/0001-08, de análise técnica, foram encaminhados para apreciação da Equipe Técnica, Setor de Suprimentos e Contadora cuja é a competência. Passaremos aos esclarecimentos e manifestações do que compete a análise da Equipe Técnica. Considerando que a pregoeira não detém conhecimento técnico específico para julgar os quesitos técnicos exigidos em Edital, daí a necessidade de segregar as competências no processo licitatório resguardando o fiel cumprimento dos princípios que regem a Administração Pública. Neste sentido, o instrumento convocatório aponta que qualquer esclarecimento e informações sobre documentação técnica e sobre os produtos são de atribuição da equipe técnica. Dito isto, segue parecer emitido pela Equipe Técnica, Setor de Padronização: “Diante dos fatos apontados e após análise esclarecemos: Requisitos de classificação da proposta e obrigações de execução contratual: O recorrente cita itens como o 9.1.29.2 ("Disponibilizar o material...") e o 9.1.1 ("Efetuar a entrega..."). Note que ambos utilizam verbos de ação futura. As exigências citadas referem-se a obrigações do contratado após a assinatura do contrato e no momento da entrega do objeto. Exigir manuais e especificações de hardware (como marcas de nobreaks ou switches) no ato da proposta, sem que o edital tenha exigido expressamente um "Anexo de Especificação de Hardware" na fase de classificação, viola o princípio da legalidade e do julgamento objetivo. A empresa CIRURTECH, ao apresentar sua proposta, declarou plena ciência e aceitação dos termos do edital. O compromisso de entregar equipamentos novos, com manual e calibração, é uma condição de aceitabilidade no recebimento, e não um requisito de habilitação. O recorrente alega que o HUOP não terá "parâmetro documental" para conferência. O parâmetro documental para a conferência é o próprio Edital e o Termo de Referência. Se a licitante vencedora apresentou a documentação de Habilitação Técnica (AFE, Licença Sanitária, Registros e Certificados do Aço), ela comprovou sua aptidão jurídica e técnica para fornecer o sistema e os instrumentais. Em contratos de locação de instrumentais com sistema de rastreabilidade, o software é frequentemente um item acessório à prestação do serviço. A descrição detalhada do hardware (marca do switch ou do servidor) é secundária à funcionalidade do sistema descrita no </w:t>
      </w:r>
      <w:r w:rsidRPr="00405978">
        <w:lastRenderedPageBreak/>
        <w:t xml:space="preserve">TR. O princípio da vinculação ao instrumento convocatório impede que a Administração desclassifique uma empresa por não apresentar documentos que não foram explicitamente exigidos para a fase de julgamento. O item 9.1.1, citado pelo recorrente, deixa claro que o manual e a marca constarão na Nota Fiscal (momento da entrega), reforçando que se trata de uma obrigação de execução. No que tange ao questionamento sobre o Sistema de Rastreabilidade e o fornecimento de relatórios (itens 9.1.26.9 e 9.1.29.5.21), a recorrente incorre novamente em confusão entrevas fases de licitação e execução. 1. Obrigações de Fazer: O fornecimento de relatórios mensais é uma condição de execução contratual. A aceitabilidade da proposta vincula a licitante ao cumprimento integral dessas metas funcionais. A aferição da eficácia desses relatórios ocorrerá no ato da implantação do sistema, sob a supervisão da Fiscalização do Contrato. 2. Parâmetros de Fiscalização: Ao contrário do alegado, o 'parâmetro documental' para a fiscalização é o próprio Termo de Referência. A Administração detém o poder-dever de rejeitar o sistema caso este, na prática, não permita as adequações necessárias ou o controle dos ativos conforme exigido no item 9.1.26.9. 3. Ausência de Exigência Editalícia: O instrumento convocatório não exigiu a apresentação de manuais técnicos, 'prints' de telas ou demonstrações prévias do software como condição de classificação. Portanto, a proposta que declara atender ao edital é válida. A exigência de provas exaustivas de funcionalidade nesta fase feriria o princípio da competitividade e do julgamento objetivo, uma vez que tal requisito não foi imposto a todos os participantes no corpo do edital. A Lei 14.133/2021 (e o Decreto 10.086/22) privilegia a obtenção do resultado. Se a empresa se declara capaz e possui as licenças sanitárias/técnicas, o hospital tem as ferramentas contratuais (multas, glosas, rescisão) para garantir que o sistema funcione exatamente como o item 9.1.26.9 exige. Não se pune antecipadamente por um receio de descumprimento futuro. Curiosamente, a jurisprudência colacionada pela recorrente (STJ, MS nº 5.597/DF) ratifica a higidez da decisão desta Administração. O referido julgado preleciona que, uma vez estabelecidas as regras no instrumento convocatório, estas vinculam ambas as partes, sendo defeso à Administração inabilitar proponentes que preencham os requisitos ali fixados com base em exigências estranhas ou formalismos excessivos. Assim, se a licitante vencedora atendeu integralmente às normas do Edital, apresentando a documentação de habilitação e a proposta técnica em conformidade com o exigido, sua desclassificação por 'ausência de manuais' ou 'descrições de hardware', itens que o Edital postergou para o momento da entrega/execução, configuraria flagrante violação ao Princípio da Vinculação ao Instrumento Convocatório e ao entendimento do STJ ora invocado. Ademais, cumpre registrar que a pretensão da recorrente de ver o edital republicado ou o certame anulado colide frontalmente com o Princípio da Continuidade do Serviço Público. Tratando-se de insumos destinados à assistência direta à saúde no </w:t>
      </w:r>
      <w:r w:rsidRPr="00405978">
        <w:lastRenderedPageBreak/>
        <w:t xml:space="preserve">HUOP, a interrupção do fluxo de contratação para a inclusão de exigências meramente acessórias e formais (exigíveis em fase de execução) acarretaria o desabastecimento de itens críticos. A republicação do edital demandaria novos prazos legais de publicidade, postergando a solução de uma carência material já existente, o que comprometeria a segurança dos pacientes e a eficiência das equipes cirúrgicas. Assim, a manutenção da classificação da proposta vencedora é a medida que melhor atende ao interesse público, garantindo a celeridade necessária para a manutenção das atividades hospitalares sem qualquer prejuízo à legalidade, visto que o objeto será rigorosamente conferido no ato da entrega. Portanto, em observância ao princípio da legalidade e à própria jurisprudência citada pela recorrente, mantém-se a classificação da empresa vencedora, visto que o 'parâmetro documental' para a futura conferência do objeto é o Termo de Referência, ao qual a ganhadora aderiu sem ressalvas. Elba Bispo dos Santos Coord. Serviço de Padronização de Produtos para Saúde Hospital Universitário do Oeste do Paraná” Segue parecer emitido pelo Setor de Suprimentos: “A análise será realizada acerca do questionamento: Atestado de capacidade técnica. Na realização do certame, para análise dos atestados de capacidade técnica, foi elaborado documento e anexado ao processo em 19/03/2026 (fls. 1399 a 1401, mov. 157), que segue na íntegra: ... Para atendimento a exigência a empresa apresentou: 1. Atestado de capacidade técnica emitido pelo Governo do Estado da Paraíba, através do Hospital de Clínicas de Campina Grande. Contrato: 079/2022 – Processo 0108/2022 – Dispensa de Licitação 024/2022 Empresa Contratada: CIRURTECH COMERCIO E MANUTENCAO DE MATERIAIS CIRÚRGICOS LTDA. CNPJ 18.836.913/0001-08. Para análise do atestado apresentado foi realizada diligência junto ao portal da transparência do Estado da Paraíba, obtendo-se o instrumento contratual 079/2022 para o qual foi emitido o atestado, com acesso ao link: https://cge.pb.gov.br/gea/Uploads/Contratos/Contratos062727.pdf Objeto do contrato e do atestado de capacidade técnica: Locação de instrumental para centro cirúrgico. 10.7.1.1.4.2.5.1. Prazo contratual, data de início e término dos serviços – foi diligenciado no Contrato 079/2022, vigência: 180 dias (29/07/2022 a 29/01/2023); 10.7.1.1.4.2.5.2. Local onde presta ou foi prestado o serviço, à época - Governo do Estado da Paraíba, através do Hospital de Clínicas de Campina Grande; 10.7.1.1.4.2.5.3. Natureza da prestação dos serviços (continuado ou não) - continuado; 10.7.1.1.4.2.5.4. Caracterização do bom desempenho do licitante – consta no atestado de capacidade técnica; 10.7.1.1.4.2.5.5. Outros dados característicos se houver – quantidade de caixas 6; Data de emissão 09/11/2023. 2. Atestado de capacidade técnica emitido pela Fundação Estatal De Atenção Em Saúde Do Estado Do Paraná – FUNEAS. Empresa Contratada: CIRURTECH COMERCIO E MANUTENCAO DE MATERIAIS CIRÚRGICOS LTDA. CNPJ 18.836.913/0001-08. Para análise do atestado apresentado foi realizada diligência </w:t>
      </w:r>
      <w:r w:rsidRPr="00405978">
        <w:lastRenderedPageBreak/>
        <w:t xml:space="preserve">junto ao portal da transparência da FUNEAS, obtendo-se o instrumento contratual 736/2023 para o qual foi emitido o atestado, com acesso ao link: https://transparencia.e-publica.net/epublicaportal/#/funeas/portal/compras/contratoView?params=%7B%22id%22:%22MV85Njkx%22,%22mode%22:%22INFO %22%7D Contrato: 736/2023 – Processo 20.592.158-3 – Dispensa de Licitação 098/2023. Objeto do contrato e do atestado de capacidade técnica: Prestação de serviços de locação de caixas de instrumentais cirúrgicos, no Hospital Regional do Centro Oeste (HRCO). 10.7.1.1.4.2.5.1. Prazo contratual, data de início e término dos serviços – 29/06/2023 a 26/12/2023; Na diligência realizada foi verificada a emissão de termo aditivo ao Contrato 736/2023, que prorrogou sua vigência de 27/12/2023 a 24/02/2024. 10.7.1.1.4.2.5.2. Local onde presta ou foi prestado o serviço, à época – Hospital Regional do Centro Oeste (HRCO); 10.7.1.1.4.2.5.3. Natureza da prestação dos serviços (continuado ou não) - continuado; 10.7.1.1.4.2.5.4. Caracterização do bom desempenho do licitante – consta no atestado de capacidade técnica; 10.7.1.1.4.2.5.5. Outros dados característicos se houver – quantidade de caixas 19; Data de emissão 14/11/2023. Conclusão: O edital dispõe: “Somatório de atestados de capacidade técnico operacional: será admitido o somatório de atestados para a comprovação da capacidade técnica do licitante”, verificamos que a empresa comprovou a prestação do serviço de locação de instrumentais cirúrgicos pelo prazo de 14 meses, perfazendo um quantitativo total de 25 caixas. Considerando ainda, impugnação ao edital do PE 2042/2025 questionando os termos do edital quanto a exigência de atestado de capacidade técnica, cujo pedido foi indeferido, sendo respondido: “Assim fica claro que para atendimento a capacidade técnica a empresa proponente deve comprovar tempo e quantidade, sendo o tempo mínimo de 12 meses e o quantitativo mínimo de 19 caixas.” Resposta esta que vincula todos os licitantes, conforme entendimento do TCU: “Ademais, as respostas aos pedidos de esclarecimentos vinculam os licitantes e a Administração (https://licitacoesecontratos.tcu.gov.br/5-1-1-impugnacao-e-pedidos-de-esclarecimento/).” Diante do exposto, conclui-se que a empresa Cirurtech Comércio E Manutenção De Materiais Cirúrgicos Ltda. Está conforme quanto a exigência dos atestados de capacidade técnica.” Conforme detalhado na análise dos atestados de capacidade técnica, foram realizadas diligências comprovando-se que os atestados atendem ao solicitado em edital. Att, Karine D. Byhain de Souza Gestão de Suprimentos e Serviços” Segue parecer emitido pela Contadora: “O edital estabelece a obrigatoriedade de apresentação de demonstrações contábeis e respectivos índices financeiros, com a finalidade de aferir a qualificação econômico-financeira, nos termos do art. 69 da Lei nº 14.133/2021. A recorrente alega que: 1. “verificamos que a licitante CIRURTECH deixou de atender aos critérios previstos no item 10.7.1.1.5.1. e s.s., do Anexo I do </w:t>
      </w:r>
      <w:r w:rsidRPr="00405978">
        <w:lastRenderedPageBreak/>
        <w:t xml:space="preserve">instrumento convocatório do presente certame, deixando de apresentar os documentos de Balanço Patrimonial e Índice Financeiro calculados na forma da tabela de fórmula disposto no item 10.7.1.1.5.6, ‘onde o documento deverá ser apresentado com a devida assinatura do contador e representante legal da empresa’”; e 2. “Ainda, a CIRURTECH percebendo o equivoco no ano de exercício dos documentos apresentados, apresentou posteriormente ao senhor Pregoeiro, o Balanço Patrimonial intermediário do exercício de 2025, porém deixou de promover e apresentar o Indice Financeiro correspondente a este exercício, na forma (fórmula), exigida no edital” Fundamentação técnica: O parecer apresentado pela contabilidade do Hospital Universitário do Oeste do Paraná (HUOP) foi realizado com base nos Balanços Patrimoniais encerrados em 31 de dezembro de 2024 e em 31 de dezembro de 2025, ambos enviados com as devidas assinaturas e retirados do Sistema Público de Escrituração Digital (SPED). Os cálculos dos índices exigidos pelo edital foram feitos de acordo com o item 4.1.2.2 do Anexo II – Documentos de Habilitação Econômico-financeira do Pregão Eletrônico nº 2042/2025. Quanto as alegações da recorrente: 1. Os índices apresentados pela licitante CIRURTECH COMÉRCIO E MANUTENÇÃO DE MATERIAIS CIRÚRGICOS LTDA referente ao exercício de 2024 foram enviados em dois documentos separados, sendo um rol de índices em que contém o cálculo da Liquidez geral (LG), Liquidez corrente (LC) e Grau de endividamento (GE) contendo a assinatura do representante e do contador e um arquivo apenas com o cálculo da Solvência geral (SG) contendo a assinatura apenas do contador responsável. Dito isto, os índices enviados pelo licitante e realizados pela contabilidade do HUOP deram os mesmos resultados. 2. Os índices apresentados pela licitante CIRURTECH COMÉRCIO E MANUTENÇÃO DE MATERIAIS CIRÚRGICOS LTDA referente ao exercício de 2025 foram enviados em um único documento, sendo um rol de índices em que contém o cálculo da Liquidez geral (LG), Liquidez corrente (LC), Grau de endividamento (GE) e da Solvência geral (SG) contendo a assinatura do representante e do contador. Dito isto, os índices enviados pelo licitante e realizados pela contabilidade do HUOP deram os mesmos resultados. Conclusão: O cenário válido pela contabilidade para a proposta da licitante CIRURTECH COMÉRCIO E MANUTENÇÃO DE MATERIAIS CIRÚRGICOS LTDA foi demonstrado com os documentos referente ao exercício de 2025, no qual há um documento contendo todos os índices solicitados pelo edital do PE nº 2042/2025 com as devidas assinaturas do representante legal e do contador responsável. Sendo assim, o documento em que contém apenas a Solvência geral (SG) do exercício de 2024 e que não possui a assinatura do representante legal não foi considerada para a validação da empresa CIRURTECH COMÉRCIO E MANUTENÇÃO DE MATERIAIS CIRÚRGICOS LTDA pelo exercício de 2025. Cascavel, 10/04/2026 Nayara Priscila Guimarães Contadora- CRC PR 077376/0” Com relação ao questionamento sobre a não apresentação da Certidão negativa </w:t>
      </w:r>
      <w:r w:rsidRPr="00405978">
        <w:lastRenderedPageBreak/>
        <w:t xml:space="preserve">de débitos do Estado do Paraná, conforme item 7.3 do Edital, fica claro que o licitante pode deixar de apresentar os documentos que estejam atualizados no GMS e, diferente do que a recorrente alega, o item não estabelece que o documento precisa estar atualizado na data da sessão pública: “7.3. Os licitantes poderão deixar de apresentar os documentos de habilitação que constem no sistema de registro cadastral unificado disponível no Portal Nacional de Contratações Públicas (PNCP) ou do Cadastro Unificado de Fornecedores do Estado do Paraná (https://www.gms.pr.gov.br/gms/loginUsuario.do?action=iniciarProcesso), desde que os referidos documentos estejam atualizados, assegurado aos demais licitantes o direito de acesso aos dados constantes dos sistemas.” Informo que não foi solicitado que a empresa anexasse a referida certidão, pois, a conferência foi realizada por meio do documento que a empresa anexou no sistema GMS com data de emissão de 19/03/2026, estando de acordo com o Edital, informamos ainda que a habilitação da empresa ocorreu na data de 23/03/2026, posterior a emissão da certidão. Portanto, analisando as alegações da empresa recorrente e os pareceres emitidos pelas Equipes, esta pregoeira mantem a habilitação da empresa Cirurtech Comércio e Manutenção de Materiais Cirúrgicos Ltda, CNPJ: 18.836.913/0001-08. II – CONCLUSÃO Diante dos fatos relatados, considerando o contido no recurso e nos pareceres das Equipes, esta pregoeira recebe o recurso, por ser tempestivo, julgando-o improcedente. Dessa forma, mantem-se a habilitação da empresa Cirurtech Comércio e Manutenção de Materiais Cirúrgicos Ltda, CNPJ: 18.836.913/0001-08. O art. 13, inciso VI do Decreto 10.086/2022 cita que a Autoridade Máxima deve decidir os recursos contra os atos do agente de contratação, do pregoeiro ou a comissão de contratação, quando este mantiver sua decisão, portanto, segue para análise e julgamento do Diretor Geral, considerando os apontamentos desta subscritora. Atenciosamente, Verônica Zanchettin Técnico Administrativo/Pregoeira Setor de Licitação/HUOP Cascavel, 14 de abril de 2026. Referência: Processo e-protocolo nº 23.808.471-7 Pregão Eletrônico 2042/2025 – UNIOESTE/HUOP Ementa: Análise de pedido de recurso da empresa Cmetk Soluções Hospitalares, CNPJ: 19.330.683/0001-73. I - DOS FATOS Trata-se de recurso enviado pela empresa Cmetk Soluções Hospitalares, CNPJ: 19.330.683/0001-73, na licitação modalidade Pregão Eletrônico, do Tipo Menor preço por lote, objetivando a contratação de empresa para Serviço de Locação de Caixas de Instrumental Cirúrgico, para atender a demanda do Hospital Universitário do Oeste do Paraná. Os fatos, bem como as contrarrazões da empresa Cirurtech Comércio e Manutenção de Materiais Cirúrgicos Ltda, CNPJ: 18.836.913/0001-08, de análise técnica, foram encaminhados para apreciação da Equipe Técnica e Setor de Suprimentos. Passaremos aos esclarecimentos e manifestações do que compete a análise da Equipe Técnica. Considerando que a pregoeira não detém conhecimento técnico específico para julgar os quesitos </w:t>
      </w:r>
      <w:r w:rsidRPr="00405978">
        <w:lastRenderedPageBreak/>
        <w:t xml:space="preserve">técnicos exigidos em Edital, daí a necessidade de segregar as competências no processo licitatório resguardando o fiel cumprimento dos princípios que regem a Administração Pública. Neste sentido, o instrumento convocatório aponta que qualquer esclarecimento e informações sobre documentação técnica e sobre os produtos são de atribuição da equipe técnica. Dito isto, segue parecer emitido pela Equipe Técnica, Setor de Padronização: “Diante dos fatos apontados e após análise esclarecemos: DA INEXISTÊNCIA DAS EXIGÊNCIAS CITADAS PELA RECORRENTE: Consta no edital: Anexo II – 6.4 - Documento comprobatório da qualidade do Aço sendo ela: AISI 304,304L ou 420. Caso a empresa a ser contratada seja fornecedora, distribuidora ou revendedora, poderá apresentar Certificados em nome do fabricante. 10.7.1.2.6. Declaração de Garantia, expedida pelo fabricante em papel timbrado, assegurando a qualidade do material e a cobertura integral contra defeitos de fabricação e corrosão por um período mínimo de 10 (dez) anos. Causa estranheza à Administração a fundamentação do recurso quanto aos itens 6.4 e 10.7.1.2.6, que supostamente exigiriam 'autorização do fabricante para comercialização e autorizado a comercializar e prestar assistência técnica dos produtos ofertados’. Após análise minuciosa do Edital e seus anexos, verifica-se que tais exigências não constam no instrumento convocatório deste certame. A recorrente tenta induzir a Administração a erro ao fundamentar sua insurgência em cláusulas inexistentes, ferindo o Princípio da Vinculação ao Instrumento Convocatório. Não se pode exigir da licitante classificada o cumprimento de obrigações que não foram previamente estabelecidas para todos os participantes. Portanto, a alegação de vício por ausência de tais documentos é manifestamente improcedente, uma vez que a proposta da vencedora atende estritamente a todos os requisitos reais e existentes contidos no Edital. DOS VÍCIOS MATERIAIS NA PROPOSTA: CÓPIA DO EDITAL E APAGÃO DE RASTREABILIDADE Quanto à alegada falta de rastreabilidade, resta claro que a Recorrente confunde 'detalhamento de catálogo' com 'vinculação editalícia'. O objeto é a locação de caixas de instrumentais onde a proposta técnica é um ato jurídico vinculante (Art. 54 da Lei 14.133/21), sujeitando a empresa a sanções caso o material físico divirja do Edital. A rastreabilidade é garantida pelo Registro ANVISA e pela conferência rigorosa no recebimento, e não por códigos de referência internos que variam entre fabricantes. Ademais, a margem de tolerância de 1cm (Item 9.1.24) reflete o zelo técnico da Administração, que escalonou as exigências conforme a complexidade: manteve a precisão rigorosa de +/- 5mm para Neurocirurgia, enquanto permitiu 1cm para instrumentais gerais por questões de ergonomia e ampliação da competitividade. Exigir rigor milimétrico onde ele é desnecessário configuraria restrição indevida ao certame. Diferente do que sustenta a recorrente, a rastreabilidade do certame não é garantida por códigos em uma planilha de papel, mas pela rigorosa identificação física exigida pelo Edital. Conforme o item </w:t>
      </w:r>
      <w:r w:rsidRPr="00405978">
        <w:lastRenderedPageBreak/>
        <w:t xml:space="preserve">10.2.25.1 e as demais exigências editalícias, todos os instrumentais deverão ser identificados individualmente: “...identificados com o código e o logotipo do fabricante através de gravação a laser na peça, inclusive com o número de série e ou lote fabril para garantir condições de total rastreabilidade de todos os itens adquiridos.” Essa exigência de rastreabilidade real e física garante condições de controle total sobre cada item locado. Portanto, a ausência de um código de referência na proposta comercial é irrelevante, pois a futura contratada está estritamente vinculada a entregar peças gravadas a laser que permitam a conferência imediata com o Registro ANVISA e o catálogo técnico no ato do recebimento. Qualquer entrega que não possua essa gravação ou que divirja das dimensões (respeitadas as tolerâncias técnicas de 1cm ou 5mm conforme o caso) ensejará a rejeição imediata do item e a aplicação de sanções, o que demonstra que a segurança do paciente e o interesse público estão plenamente preservados. DA INFRAÇÃO SANITÁRIA E IRREGULARIDADE REGULATÓRIA No que tange à alegada ausência de registro ANVISA, tal afirmação não prospera. Verificou-se que a proposta técnica e a ficha técnica apresentadas pela licitante classificada indicam expressamente os números de registro/cadastro perante a Agência Nacional de Vigilância Sanitária para todos os itens que compõem as caixas de instrumentais. É importante destacar que o objeto da licitação é a prestação de serviço de locação, onde a contratada assume a responsabilidade integral pela regularidade sanitária dos materiais disponibilizados. A indicação do registro na fase de proposta atende plenamente ao princípio da vinculação ao instrumento convocatório e à Lei Federal nº 6.360/76. Eventual conferência detalhada de lotes e validades é matéria afeta à fase de execução contratual e recebimento técnico, momento em que a CME do HUOP realizará a inspeção física dos itens, garantindo que nenhum material sem registro vigente seja utilizado em ambiente cirúrgico. Portanto, não há que se falar em vício de legalidade ou infração sanitária, visto que a proposta apresentada reflete uma oferta técnica regular e vinculante. Quanto à alegada falta de registro dos instrumentais, cumpre esclarecer que a sistemática regulatória da ANVISA, consolidada pela RDC nº 751/2022, adota o regime de agrupamento por famílias para dispositivos médicos de mesma base tecnológica. É imperativo destacar que o extrato de registro emitido pela agência reguladora possui natureza sintetizada, não sendo exigível, nem tecnicamente viável que este reproduza a literalidade de cada descritivo comercial constante no Termo de Referência. A regularidade sanitária é verificada pela subsunção do modelo ofertado às características gerais da família registrada. Portanto, a coincidência técnica entre o objeto e o escopo do registro apresentado pela recorrida é suficiente para garantir a segurança sanitária e a legalidade do certame, inexistindo o vício apontado pelo recorrente. Quanto à alegada divergência no Item 1 da Caixa Coronária, resta evidente que se trata de mera falha formal sanável. A licitante vencedora, ao apresentar a ficha técnica atualizada contendo </w:t>
      </w:r>
      <w:r w:rsidRPr="00405978">
        <w:lastRenderedPageBreak/>
        <w:t xml:space="preserve">o Registro ANVISA nº 80310620016, sanou qualquer dúvida sobre a regularidade do item. É princípio basilar das licitações (nos termos do Art. 12, inciso IV e Art. 59 da Lei 14.133/21)) o descarte de formalismos excessivos que prejudiquem a seleção da proposta mais vantajosa. A suposição da recorrente de que um erro documental configura 'apagão de controle' é subjetiva e carece de prova material, não podendo sobrepor-se à realidade fática de que o produto possui registro vigente e atende às normas de saúde pública. A Administração preza pela segurança do paciente, e esta é garantida pela existência do registro e pela conferência física no ato do recebimento, e não pela versão do arquivo digital enviado inicialmente. Não assiste razão à recorrente quanto ao suposto 'apagão de rastreabilidade' ou 'infração sanitária'. O Edital é rígido ao exigir: 1. Declaração de Veracidade: A licitante vencedora declarou, sob as penas da lei, que seus produtos possuem registro ANVISA vigente. A apresentação de informações falsas enseja a aplicação imediata de sanções administrativas e impedimento de licitar, garantindo a lisura do processo (10.7.1.1.4.2.8.) 2. Responsabilidade Técnica Integral: Através da declaração conjunta, a empresa assume a responsabilidade pela qualidade, integridade e conformidade dos produtos durante todo o contrato. 3. Poder de Fiscalização: Caso qualquer irregularidade dimensional ou sanitária seja constatada na entrega das caixas, momento em que a rastreabilidade física é verificada pela Comissão, a Administração possui o respaldo legal e contratual para exigir a troca imediata ou aplicar as penalidades previstas, protegendo o interesse público e a segurança do paciente. Portanto, a proposta da CIRURTECH é técnica, vinculante e está plenamente amparada pelas garantias documentais exigidas no instrumento convocatório. Por fim, cumpre destacar que a recorrente, em nenhum momento anterior à sessão pública, utilizou-se dos institutos do Pedido de Esclarecimento ou da Impugnação ao Edital para questionar os critérios de tolerância dimensional ou as exigências de rastreabilidade. Ao participar do certame sem qualquer ressalva, a empresa anuiu integralmente com as regras estabelecidas, operando-se a preclusão sobre sua faculdade de contestar a viabilidade técnica dos itens. A tentativa de desqualificar a regra editalícia apenas em fase recursal e somente após verificar a sagração de outra licitante como vencedora, configura comportamento contraditório que atenta contra a segurança jurídica e a celeridade do processo administrativo. O Tribunal de Contas do Estado do Paraná (TCE-PR), em consonância com o TCU, entende que a participação no certame sem impugnação prévia implica aceitação irrestrita das regras. A tentativa de invalidar critérios técnicos em fase recursal configura comportamento contraditório. "A ausência de impugnação ao edital no momento oportuno acarreta a preclusão do direito de questionar as regras do certame, não podendo a licitante, após a abertura das propostas, insurgir-se contra cláusulas que aceitou tacitamente ao participar da disputa." (Entendimento análogo ao Prejulgado nº 22 do TCE-PR e Acórdãos do TCU, ex: Acórdão 2145/2013-Plenário).” </w:t>
      </w:r>
      <w:r w:rsidRPr="00405978">
        <w:lastRenderedPageBreak/>
        <w:t xml:space="preserve">Considerando que a recorrente não impugnou o edital em tempo hábil, que as tolerâncias estão tecnicamente justificadas pelas NBRs e necessidades médicas, e que a proposta da vencedora é um ato jurídico vinculante devidamente saneado, a Administração nega provimento ao recurso, mantendo a classificação da empresa CIRURTECH por ser a proposta mais vantajosa para o HUOP. Elba Bispo dos Santos Coord. Serviço de Padronização de Produtos para Saúde Hospital Universitário do Oeste do Paraná” Segue parecer emitido pelo Setor de Suprimentos: “A análise será realizada acerca do questionamento: Atestado de capacidade técnica. Na realização do certame, para análise dos atestados de capacidade técnica, foi elaborado documento e anexado ao processo em 19/03/2026 (fls. 1399 a 1401, mov. 157), que segue na íntegra: ... Para atendimento a exigência a empresa apresentou: 1. Atestado de capacidade técnica emitido pelo Governo do Estado da Paraíba, através do Hospital de Clínicas de Campina Grande. Contrato: 079/2022 – Processo 0108/2022 – Dispensa de Licitação 024/2022 Empresa Contratada: CIRURTECH COMERCIO E MANUTENCAO DE MATERIAIS CIRÚRGICOS LTDA. CNPJ 18.836.913/0001-08. Para análise do atestado apresentado foi realizada diligência junto ao portal da transparência do Estado da Paraíba, obtendo-se o instrumento contratual 079/2022 para o qual foi emitido o atestado, com acesso ao link: https://cge.pb.gov.br/gea/Uploads/Contratos/Contratos062727.pdf Objeto do contrato e do atestado de capacidade técnica: Locação de instrumental para centro cirúrgico. 10.7.1.1.4.2.5.1. Prazo contratual, data de início e término dos serviços – foi diligenciado no Contrato 079/2022, vigência: 180 dias (29/07/2022 a 29/01/2023); 10.7.1.1.4.2.5.2. Local onde presta ou foi prestado o serviço, à época - Governo do Estado da Paraíba, através do Hospital de Clínicas de Campina Grande; 10.7.1.1.4.2.5.3. Natureza da prestação dos serviços (continuado ou não) - continuado; 10.7.1.1.4.2.5.4. Caracterização do bom desempenho do licitante – consta no atestado de capacidade técnica; 10.7.1.1.4.2.5.5. Outros dados característicos se houver – quantidade de caixas 6; Data de emissão 09/11/2023. 2. Atestado de capacidade técnica emitido pela Fundação Estatal De Atenção Em Saúde Do Estado Do Paraná – FUNEAS. Empresa Contratada: CIRURTECH COMERCIO E MANUTENCAO DE MATERIAIS CIRÚRGICOS LTDA. CNPJ 18.836.913/0001-08. Para análise do atestado apresentado foi realizada diligência junto ao portal da transparência da FUNEAS, obtendo-se o instrumento contratual 736/2023 para o qual foi emitido o atestado, com acesso ao link: https://transparencia.e-publica.net/epublicaportal/#/funeas/portal/compras/contratoView?params=%7B%22id%22:%22MV85Njkx%22,%22mode%22:%22INFO %22%7D Contrato: 736/2023 – Processo 20.592.158-3 – Dispensa de Licitação 098/2023. Objeto do contrato e do atestado de capacidade técnica: Prestação de serviços de locação de caixas de instrumentais cirúrgicos, no Hospital Regional do Centro Oeste </w:t>
      </w:r>
      <w:r w:rsidRPr="00405978">
        <w:lastRenderedPageBreak/>
        <w:t xml:space="preserve">(HRCO). 10.7.1.1.4.2.5.1. Prazo contratual, data de início e término dos serviços – 29/06/2023 a 26/12/2023; Na diligência realizada foi verificada a emissão de termo aditivo ao Contrato 736/2023, que prorrogou sua vigência de 27/12/2023 a 24/02/2024. 10.7.1.1.4.2.5.2. Local onde presta ou foi prestado o serviço, à época – Hospital Regional do Centro Oeste (HRCO); 10.7.1.1.4.2.5.3. Natureza da prestação dos serviços (continuado ou não) - continuado; 10.7.1.1.4.2.5.4. Caracterização do bom desempenho do licitante – consta no atestado de capacidade técnica; 10.7.1.1.4.2.5.5. Outros dados característicos se houver – quantidade de caixas 19; Data de emissão 14/11/2023. Conclusão: O edital dispõe: “Somatório de atestados de capacidade técnico operacional: será admitido o somatório de atestados para a comprovação da capacidade técnica do licitante”, verificamos que a empresa comprovou a prestação do serviço de locação de instrumentais cirúrgicos pelo prazo de 14 meses, perfazendo um quantitativo total de 25 caixas. Considerando ainda, impugnação ao edital do PE 2042/2025 questionando os termos do edital quanto a exigência de atestado de capacidade técnica, cujo pedido foi indeferido, sendo respondido: “Assim fica claro que para atendimento a capacidade técnica a empresa proponente deve comprovar tempo e quantidade, sendo o tempo mínimo de 12 meses e o quantitativo mínimo de 19 caixas.” Resposta esta que vincula todos os licitantes, conforme entendimento do TCU: “Ademais, as respostas aos pedidos de esclarecimentos vinculam os licitantes e a Administração (https://licitacoesecontratos.tcu.gov.br/5-1-1-impugnacao-e-pedidos-de-esclarecimento/).” Diante do exposto, conclui-se que a empresa Cirurtech Comércio E Manutenção De Materiais Cirúrgicos Ltda. Está conforme quanto a exigência dos atestados de capacidade técnica.” Conforme detalhado na análise dos atestados de capacidade técnica, foram realizadas diligências comprovando-se que os atestados atendem ao solicitado em edital, que determinou a apresentação de atestados de capacidade técnica, para aluguel de instrumentais cirúrgicos, mas não exigiu a comprovação de gerenciamento de serviços e rastreabilidade. Cabe destacar que, de acordo com Art. 67, § 2º da Lei 14.133/2021 para a exigência da qualificação técnico operacional: “será admitida a exigência de atestados com quantidades mínimas de até 50% (cinquenta por cento) das parcelas de que trata o referido parágrafo, vedadas limitações de tempo e de locais específicos relativas aos atestados.” Ou seja, a lei veda a exigência de tempo dos atestados, não sendo possível exigir que os atestados tenham sido emitidos em prazo anterior a 3 anos, como mencionado pela empresa recorrente. Att, Karine D. Byhain de Souza Gestão de Suprimentos e Serviços” Portanto, analisando as alegações da empresa recorrente e os pareceres emitidos pelas Equipes, esta pregoeira mantem a habilitação da empresa Cirurtech Comércio e Manutenção de Materiais Cirúrgicos Ltda, CNPJ: 18.836.913/0001-08. II – CONCLUSÃO Diante dos fatos relatados, considerando o </w:t>
      </w:r>
      <w:r w:rsidRPr="00405978">
        <w:lastRenderedPageBreak/>
        <w:t>contido no recurso e nos pareceres das Equipes, esta pregoeira recebe o recurso, por ser tempestivo, julgando-o improcedente. Dessa forma, mantem-se a habilitação da empresa Cirurtech Comércio e Manutenção de Materiais Cirúrgicos Ltda, CNPJ: 18.836.913/0001-08. O art. 13, inciso VI do Decreto 10.086/2022 cita que a Autoridade Máxima deve decidir os recursos contra os atos do agente de contratação, do pregoeiro ou a comissão de contratação, quando este mantiver sua decisão, portanto, segue para análise e julgamento do Diretor Geral, considerando os apontamentos desta subscritora. Atenciosamente, Verônica Zanchettin Técnico Administrativo/Pregoeira Setor de Licitação/HUOP</w:t>
      </w:r>
    </w:p>
    <w:sectPr w:rsidR="004059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78"/>
    <w:rsid w:val="00405978"/>
    <w:rsid w:val="005969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638F7"/>
  <w15:chartTrackingRefBased/>
  <w15:docId w15:val="{1C2ECEB5-EC2F-4333-A2BB-8652F959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0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0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059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059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059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059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059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059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0597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0597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0597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0597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0597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0597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0597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0597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0597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05978"/>
    <w:rPr>
      <w:rFonts w:eastAsiaTheme="majorEastAsia" w:cstheme="majorBidi"/>
      <w:color w:val="272727" w:themeColor="text1" w:themeTint="D8"/>
    </w:rPr>
  </w:style>
  <w:style w:type="paragraph" w:styleId="Ttulo">
    <w:name w:val="Title"/>
    <w:basedOn w:val="Normal"/>
    <w:next w:val="Normal"/>
    <w:link w:val="TtuloChar"/>
    <w:uiPriority w:val="10"/>
    <w:qFormat/>
    <w:rsid w:val="0040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059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0597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0597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05978"/>
    <w:pPr>
      <w:spacing w:before="160"/>
      <w:jc w:val="center"/>
    </w:pPr>
    <w:rPr>
      <w:i/>
      <w:iCs/>
      <w:color w:val="404040" w:themeColor="text1" w:themeTint="BF"/>
    </w:rPr>
  </w:style>
  <w:style w:type="character" w:customStyle="1" w:styleId="CitaoChar">
    <w:name w:val="Citação Char"/>
    <w:basedOn w:val="Fontepargpadro"/>
    <w:link w:val="Citao"/>
    <w:uiPriority w:val="29"/>
    <w:rsid w:val="00405978"/>
    <w:rPr>
      <w:i/>
      <w:iCs/>
      <w:color w:val="404040" w:themeColor="text1" w:themeTint="BF"/>
    </w:rPr>
  </w:style>
  <w:style w:type="paragraph" w:styleId="PargrafodaLista">
    <w:name w:val="List Paragraph"/>
    <w:basedOn w:val="Normal"/>
    <w:uiPriority w:val="34"/>
    <w:qFormat/>
    <w:rsid w:val="00405978"/>
    <w:pPr>
      <w:ind w:left="720"/>
      <w:contextualSpacing/>
    </w:pPr>
  </w:style>
  <w:style w:type="character" w:styleId="nfaseIntensa">
    <w:name w:val="Intense Emphasis"/>
    <w:basedOn w:val="Fontepargpadro"/>
    <w:uiPriority w:val="21"/>
    <w:qFormat/>
    <w:rsid w:val="00405978"/>
    <w:rPr>
      <w:i/>
      <w:iCs/>
      <w:color w:val="0F4761" w:themeColor="accent1" w:themeShade="BF"/>
    </w:rPr>
  </w:style>
  <w:style w:type="paragraph" w:styleId="CitaoIntensa">
    <w:name w:val="Intense Quote"/>
    <w:basedOn w:val="Normal"/>
    <w:next w:val="Normal"/>
    <w:link w:val="CitaoIntensaChar"/>
    <w:uiPriority w:val="30"/>
    <w:qFormat/>
    <w:rsid w:val="0040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05978"/>
    <w:rPr>
      <w:i/>
      <w:iCs/>
      <w:color w:val="0F4761" w:themeColor="accent1" w:themeShade="BF"/>
    </w:rPr>
  </w:style>
  <w:style w:type="character" w:styleId="RefernciaIntensa">
    <w:name w:val="Intense Reference"/>
    <w:basedOn w:val="Fontepargpadro"/>
    <w:uiPriority w:val="32"/>
    <w:qFormat/>
    <w:rsid w:val="00405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5441</Words>
  <Characters>29383</Characters>
  <Application>Microsoft Office Word</Application>
  <DocSecurity>0</DocSecurity>
  <Lines>244</Lines>
  <Paragraphs>69</Paragraphs>
  <ScaleCrop>false</ScaleCrop>
  <Company/>
  <LinksUpToDate>false</LinksUpToDate>
  <CharactersWithSpaces>34755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ddpfarmaceutica@gmail.com</dc:creator>
  <cp:keywords/>
  <dc:description/>
  <cp:lastModifiedBy>ddpfarmaceutica@gmail.com</cp:lastModifiedBy>
  <cp:revision>1</cp:revision>
  <dcterms:created xsi:type="dcterms:W3CDTF">2026-04-17T12:15:00Z</dcterms:created>
  <dcterms:modified xsi:type="dcterms:W3CDTF">2026-04-17T12:15:00Z</dcterms:modified>
</cp:coreProperties>
</file>