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Calibri" w:hAnsi="Calibri" w:eastAsia="Calibri"/>
          <w:b/>
          <w:color w:val="B88950"/>
          <w:sz w:val="18"/>
        </w:rPr>
        <w:t>ПАКЕТ ПОДКЛЮЧЕНИЯ ДЛЯ ЗАКАЗЧИКА</w:t>
      </w:r>
    </w:p>
    <w:p>
      <w:pPr>
        <w:spacing w:after="160"/>
      </w:pPr>
      <w:r>
        <w:rPr>
          <w:rFonts w:ascii="Calibri" w:hAnsi="Calibri" w:eastAsia="Calibri"/>
          <w:b/>
          <w:color w:val="0E2238"/>
          <w:sz w:val="58"/>
        </w:rPr>
        <w:t>Оплата и доставка Regola</w:t>
      </w:r>
    </w:p>
    <w:p>
      <w:pPr>
        <w:spacing w:after="400"/>
      </w:pPr>
      <w:r>
        <w:rPr>
          <w:rFonts w:ascii="Calibri" w:hAnsi="Calibri" w:eastAsia="Calibri"/>
          <w:color w:val="65717E"/>
          <w:sz w:val="26"/>
        </w:rPr>
        <w:t>Что уже готово, какие данные нужны и как безопасно запустить боевой контур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ПОДГОТОВЛЕНО ДЛЯ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Regola / regola.shop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СТАТУС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Готово к тестовым ключам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1F4D78"/>
                <w:sz w:val="17"/>
              </w:rPr>
              <w:t>ДАТА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14 августа 2026</w:t>
            </w:r>
          </w:p>
        </w:tc>
      </w:tr>
    </w:tbl>
    <w:p>
      <w:pPr>
        <w:spacing w:before="80" w:after="80"/>
      </w:pPr>
    </w:p>
    <w:p>
      <w:pPr>
        <w:spacing w:after="80"/>
      </w:pPr>
    </w:p>
    <w:p>
      <w:pPr>
        <w:spacing w:before="140" w:after="200" w:line="283" w:lineRule="auto"/>
        <w:ind w:left="173" w:right="115"/>
        <w:shd w:fill="F4F6F9"/>
        <w:pBdr>
          <w:left w:val="single" w:sz="18" w:space="8" w:color="B88950"/>
        </w:pBdr>
      </w:pPr>
      <w:r>
        <w:rPr>
          <w:rFonts w:ascii="Calibri" w:hAnsi="Calibri" w:eastAsia="Calibri"/>
          <w:b/>
          <w:color w:val="1F4D78"/>
          <w:sz w:val="19"/>
        </w:rPr>
        <w:t xml:space="preserve">КЛЮЧЕВОЙ ВЫВОД  </w:t>
      </w:r>
      <w:r>
        <w:rPr>
          <w:rFonts w:ascii="Calibri" w:hAnsi="Calibri" w:eastAsia="Calibri"/>
          <w:color w:val="1B2733"/>
          <w:sz w:val="21"/>
        </w:rPr>
        <w:t>Код интеграции готов. Реальные платежи намеренно не включаются без договора, ключей терминала, налоговых настроек и приёмочного теста заказчика.</w:t>
      </w:r>
    </w:p>
    <w:p>
      <w:pPr>
        <w:pStyle w:val="Heading1"/>
      </w:pPr>
      <w:r>
        <w:t>1. Что уже реализовано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Сервер сам загружает товары и цены из базы; цена и итог из браузера игнорируются.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T-Банк: Init, чек, Token, платёжная ссылка, success/fail возвраты и проверяемый webhook.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СДЭК API v2: OAuth, город, тариф, ПВЗ, стоимость и создание отправления из админки.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Админка показывает статус платежа, PaymentId, номер и UUID отправления СДЭК.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Без ключей сайт остаётся рабочим: принимает заказ по счёту, а онлайн-оплата скрыта.</w:t>
      </w:r>
    </w:p>
    <w:p>
      <w:pPr>
        <w:pStyle w:val="Heading2"/>
      </w:pPr>
      <w:r>
        <w:t>2. Граница ответственности</w:t>
      </w:r>
    </w:p>
    <w:p>
      <w:r>
        <w:rPr>
          <w:rFonts w:ascii="Calibri" w:hAnsi="Calibri" w:eastAsia="Calibri"/>
          <w:i w:val="0"/>
          <w:color w:val="1B2733"/>
        </w:rPr>
        <w:t>СДЭК отвечает за доставку и, при отдельном условии договора, может принять наложенный платёж. Онлайн-эквайринг банковской картой выполняет T-Банк. Это два независимых договора и два набора ключей.</w:t>
      </w:r>
    </w:p>
    <w:p>
      <w:r>
        <w:br w:type="page"/>
      </w:r>
    </w:p>
    <w:p>
      <w:pPr>
        <w:pStyle w:val="Heading1"/>
      </w:pPr>
      <w:r>
        <w:t>T-Банк: что получить у клиента</w:t>
      </w:r>
    </w:p>
    <w:p>
      <w:pPr>
        <w:spacing w:before="140" w:after="200" w:line="283" w:lineRule="auto"/>
        <w:ind w:left="173" w:right="115"/>
        <w:shd w:fill="F4F6F9"/>
        <w:pBdr>
          <w:left w:val="single" w:sz="18" w:space="8" w:color="9B1C1C"/>
        </w:pBdr>
      </w:pPr>
      <w:r>
        <w:rPr>
          <w:rFonts w:ascii="Calibri" w:hAnsi="Calibri" w:eastAsia="Calibri"/>
          <w:b/>
          <w:color w:val="9B1C1C"/>
          <w:sz w:val="19"/>
        </w:rPr>
        <w:t xml:space="preserve">ПЕРЕДАЧА СЕКРЕТОВ  </w:t>
      </w:r>
      <w:r>
        <w:rPr>
          <w:rFonts w:ascii="Calibri" w:hAnsi="Calibri" w:eastAsia="Calibri"/>
          <w:color w:val="1B2733"/>
          <w:sz w:val="21"/>
        </w:rPr>
        <w:t>TerminalKey можно идентифицировать в переписке, но пароль терминала передаётся только защищённым каналом и хранится исключительно в .env на VPS.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Данные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Что должен подтвердить клиент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Договор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Интернет-эквайринг активирован для ИП/ООО и домена regola.shop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Доступ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Тестовые и боевые TerminalKey + пароль терминала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Налоги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СНО; НДС товара; НДС доставки - письменно от бухгалтера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Чеки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Кто фискализирует: T-Банк, облачная или собственная касса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Сценарий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Одностадийная оплата; разрешённые способы на форме банка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Возвраты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Ответственный сотрудник и регламент полной/частичной отмены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Переменные сервера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TBANK_MODE=test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TBANK_TERMINAL_KEY и TBANK_PASSWORD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TBANK_TAXATION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TBANK_ITEM_TAX и TBANK_DELIVERY_TAX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PUBLIC_BASE_URL=https://regola.shop</w:t>
      </w:r>
    </w:p>
    <w:p>
      <w:r>
        <w:rPr>
          <w:rFonts w:ascii="Calibri" w:hAnsi="Calibri" w:eastAsia="Calibri"/>
          <w:b/>
          <w:color w:val="1B2733"/>
        </w:rPr>
        <w:t>Адрес уведомлений:</w:t>
      </w:r>
      <w:r>
        <w:rPr>
          <w:rFonts w:ascii="Calibri" w:hAnsi="Calibri" w:eastAsia="Calibri"/>
          <w:i w:val="0"/>
          <w:color w:val="1B2733"/>
        </w:rPr>
        <w:t xml:space="preserve"> https://regola.shop/api/payments/tbank/notification</w:t>
      </w:r>
    </w:p>
    <w:p>
      <w:r>
        <w:br w:type="page"/>
      </w:r>
    </w:p>
    <w:p>
      <w:pPr>
        <w:pStyle w:val="Heading1"/>
      </w:pPr>
      <w:r>
        <w:t>СДЭК: что получить у клиента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Данные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Что должен подтвердить клиент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Договор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Договор СДЭК для ИП/ООО и доступ к API v2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Наложенный платёж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Подключён отдельно; известны комиссия, лимиты и срок перечисления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Ключи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Тестовые и боевые Client ID + Client secret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Отправитель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Код города, shipment point, название, телефон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Тарифы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Разрешённые коды тарифов до ПВЗ и курьером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Упаковка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Вес в граммах и длина/ширина/высота в сантиметрах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Переменные сервера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CDEK_MODE=test; CDEK_CLIENT_ID; CDEK_CLIENT_SECRET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CDEK_FROM_CITY_CODE; CDEK_TARIFF_PVZ; CDEK_TARIFF_COURIER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CDEK_PACKAGE_WEIGHT_G; CDEK_PACKAGE_LENGTH_CM; CDEK_PACKAGE_WIDTH_CM; CDEK_PACKAGE_HEIGHT_CM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CDEK_SHIPMENT_POINT; CDEK_SENDER_NAME; CDEK_SENDER_PHONE</w:t>
      </w:r>
    </w:p>
    <w:p>
      <w:pPr>
        <w:spacing w:before="140" w:after="200" w:line="283" w:lineRule="auto"/>
        <w:ind w:left="173" w:right="115"/>
        <w:shd w:fill="F4F6F9"/>
        <w:pBdr>
          <w:left w:val="single" w:sz="18" w:space="8" w:color="B88950"/>
        </w:pBdr>
      </w:pPr>
      <w:r>
        <w:rPr>
          <w:rFonts w:ascii="Calibri" w:hAnsi="Calibri" w:eastAsia="Calibri"/>
          <w:b/>
          <w:color w:val="1F4D78"/>
          <w:sz w:val="19"/>
        </w:rPr>
        <w:t xml:space="preserve">ВАЖНО  </w:t>
      </w:r>
      <w:r>
        <w:rPr>
          <w:rFonts w:ascii="Calibri" w:hAnsi="Calibri" w:eastAsia="Calibri"/>
          <w:color w:val="1B2733"/>
          <w:sz w:val="21"/>
        </w:rPr>
        <w:t>Вес и габариты сейчас задаются как параметры одной единицы. Если упаковка сильно отличается по товарам, следующим этапом нужно хранить логистические параметры в каждой карточке.</w:t>
      </w:r>
    </w:p>
    <w:p>
      <w:r>
        <w:br w:type="page"/>
      </w:r>
    </w:p>
    <w:p>
      <w:pPr>
        <w:pStyle w:val="Heading1"/>
      </w:pPr>
      <w:r>
        <w:t>Приёмка и безопасный запуск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Внести тестовые ключи на VPS и оставить оба режима test.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Провести успешный платёж, отказ, отмену, повтор webhook, неверную сумму и возврат.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Проверить чек: позиции, доставка, СНО, НДС, email/телефон покупателя.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Проверить ПВЗ, курьера, предоплату, наложенный платёж и ошибочный город.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Сверить платежи, чеки и отправления в кабинетах T-Банка и СДЭК.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Получить письменное принятие заказчика, заменить ключи на боевые и включить production.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Calibri"/>
          <w:color w:val="1B2733"/>
          <w:sz w:val="22"/>
        </w:rPr>
        <w:t>Сделать один минимальный реальный заказ и только после сверки открыть оплату всем клиентам.</w:t>
      </w:r>
    </w:p>
    <w:p>
      <w:pPr>
        <w:pStyle w:val="Heading2"/>
      </w:pPr>
      <w:r>
        <w:t>Тестовая матрица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Контур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Проверка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8"/>
              </w:rPr>
              <w:t>Ожидаемый результат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T-Банк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Успех / отказ / отмена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Статус заказа соответствует уведомлению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T-Банк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Подмена Amount/PaymentId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Webhook отклонён, статус не меняется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СДЭК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ПВЗ / курьер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Цена, срок и код тарифа сохранены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СДЭК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Предоплата / наложенный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Payment в накладной соответствует сценарию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Админка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Создание отправления дважды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8"/>
              </w:rPr>
              <w:t>Повтор не создаёт дубликат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pStyle w:val="Heading1"/>
      </w:pPr>
      <w:r>
        <w:t>Форма передачи данных</w:t>
      </w:r>
    </w:p>
    <w:p>
      <w:r>
        <w:rPr>
          <w:rFonts w:ascii="Calibri" w:hAnsi="Calibri" w:eastAsia="Calibri"/>
          <w:i w:val="0"/>
          <w:color w:val="1B2733"/>
        </w:rPr>
        <w:t>Заполняет заказчик или его бухгалтер/логист. Не вставлять секреты в этот документ - передать их отдельно.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Поле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color w:val="0E2238"/>
                <w:sz w:val="19"/>
              </w:rPr>
              <w:t>Ответ клиента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Юридическое лицо / ИП, ИНН, ОГРН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Система налогообложения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НДС товара / доставки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Касса и фискализация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Кто оплачивает доставку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Разрешён ли наложенный платёж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Город и точка отгрузки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Тарифы ПВЗ / курьер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Вес и габариты упаковки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  <w:t>Ответственный за приёмку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color w:val="1B2733"/>
                <w:sz w:val="19"/>
              </w:rPr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Официальные источники</w:t>
      </w:r>
    </w:p>
    <w:p>
      <w:pPr>
        <w:spacing w:after="80"/>
      </w:pPr>
      <w:hyperlink r:id="rId11">
        <w:r>
          <w:rPr>
            <w:rFonts w:ascii="Calibri" w:hAnsi="Calibri"/>
            <w:color w:val="2E74B5"/>
            <w:u w:val="single"/>
            <w:sz w:val="20"/>
          </w:rPr>
          <w:t>T-Банк: OpenAPI и адреса сред</w:t>
        </w:r>
      </w:hyperlink>
    </w:p>
    <w:p>
      <w:pPr>
        <w:spacing w:after="80"/>
      </w:pPr>
      <w:hyperlink r:id="rId12">
        <w:r>
          <w:rPr>
            <w:rFonts w:ascii="Calibri" w:hAnsi="Calibri"/>
            <w:color w:val="2E74B5"/>
            <w:u w:val="single"/>
            <w:sz w:val="20"/>
          </w:rPr>
          <w:t>T-Банк: формирование Token</w:t>
        </w:r>
      </w:hyperlink>
    </w:p>
    <w:p>
      <w:pPr>
        <w:spacing w:after="80"/>
      </w:pPr>
      <w:hyperlink r:id="rId13">
        <w:r>
          <w:rPr>
            <w:rFonts w:ascii="Calibri" w:hAnsi="Calibri"/>
            <w:color w:val="2E74B5"/>
            <w:u w:val="single"/>
            <w:sz w:val="20"/>
          </w:rPr>
          <w:t>T-Банк: метод Init</w:t>
        </w:r>
      </w:hyperlink>
    </w:p>
    <w:p>
      <w:pPr>
        <w:spacing w:after="80"/>
      </w:pPr>
      <w:hyperlink r:id="rId14">
        <w:r>
          <w:rPr>
            <w:rFonts w:ascii="Calibri" w:hAnsi="Calibri"/>
            <w:color w:val="2E74B5"/>
            <w:u w:val="single"/>
            <w:sz w:val="20"/>
          </w:rPr>
          <w:t>T-Банк: уведомления</w:t>
        </w:r>
      </w:hyperlink>
    </w:p>
    <w:p>
      <w:pPr>
        <w:spacing w:after="80"/>
      </w:pPr>
      <w:hyperlink r:id="rId15">
        <w:r>
          <w:rPr>
            <w:rFonts w:ascii="Calibri" w:hAnsi="Calibri"/>
            <w:color w:val="2E74B5"/>
            <w:u w:val="single"/>
            <w:sz w:val="20"/>
          </w:rPr>
          <w:t>СДЭК: документация API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5717E"/>
        <w:sz w:val="17"/>
      </w:rPr>
      <w:t xml:space="preserve">REGOLA  |  </w:t>
    </w:r>
    <w:r>
      <w:rPr>
        <w:rFonts w:ascii="Calibri" w:hAnsi="Calibri" w:eastAsia="Calibri"/>
        <w:color w:val="65717E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65717E"/>
        <w:sz w:val="17"/>
      </w:rPr>
      <w:t xml:space="preserve"> / </w:t>
    </w:r>
    <w:r>
      <w:rPr>
        <w:rFonts w:ascii="Calibri" w:hAnsi="Calibri" w:eastAsia="Calibri"/>
        <w:color w:val="65717E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pBdr>
        <w:bottom w:val="single" w:sz="6" w:space="4" w:color="D7DBE2"/>
      </w:pBdr>
    </w:pPr>
    <w:r>
      <w:rPr>
        <w:rFonts w:ascii="Calibri" w:hAnsi="Calibri" w:eastAsia="Calibri"/>
        <w:b/>
        <w:color w:val="0E2238"/>
        <w:sz w:val="17"/>
      </w:rPr>
      <w:t>ПАКЕТ ПОДКЛЮЧЕНИЯ</w:t>
    </w:r>
    <w:r>
      <w:rPr>
        <w:rFonts w:ascii="Calibri" w:hAnsi="Calibri" w:eastAsia="Calibri"/>
        <w:color w:val="65717E"/>
        <w:sz w:val="17"/>
      </w:rPr>
      <w:tab/>
      <w:t>T-Банк + СДЭК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1B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tbank.ru/eacq/intro/developer/openapi" TargetMode="External"/><Relationship Id="rId12" Type="http://schemas.openxmlformats.org/officeDocument/2006/relationships/hyperlink" Target="https://developer.tbank.ru/eacq/intro/developer/token" TargetMode="External"/><Relationship Id="rId13" Type="http://schemas.openxmlformats.org/officeDocument/2006/relationships/hyperlink" Target="https://developer.tbank.ru/eacq/api/init" TargetMode="External"/><Relationship Id="rId14" Type="http://schemas.openxmlformats.org/officeDocument/2006/relationships/hyperlink" Target="https://developer.tbank.ru/eacq/intro/developer/notification" TargetMode="External"/><Relationship Id="rId15" Type="http://schemas.openxmlformats.org/officeDocument/2006/relationships/hyperlink" Target="https://api-docs.cde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