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ANEXO</w:t>
      </w:r>
      <w:r>
        <w:t xml:space="preserve"> </w:t>
      </w:r>
      <w:r>
        <w:t xml:space="preserve">B</w:t>
      </w:r>
      <w:r>
        <w:t xml:space="preserve"> </w:t>
      </w:r>
      <w:r>
        <w:t xml:space="preserve">—</w:t>
      </w:r>
      <w:r>
        <w:t xml:space="preserve"> </w:t>
      </w:r>
      <w:r>
        <w:t xml:space="preserve">ANEXO</w:t>
      </w:r>
      <w:r>
        <w:t xml:space="preserve"> </w:t>
      </w:r>
      <w:r>
        <w:t xml:space="preserve">TÉCNICO</w:t>
      </w:r>
    </w:p>
    <w:p>
      <w:pPr>
        <w:pStyle w:val="Subtitle"/>
      </w:pPr>
      <w:r>
        <w:t xml:space="preserve">MERIDIAN</w:t>
      </w:r>
      <w:r>
        <w:t xml:space="preserve"> </w:t>
      </w:r>
      <w:r>
        <w:t xml:space="preserve">TECH</w:t>
      </w:r>
      <w:r>
        <w:t xml:space="preserve"> </w:t>
      </w:r>
      <w:r>
        <w:t xml:space="preserve">S.A.S.</w:t>
      </w:r>
    </w:p>
    <w:bookmarkStart w:id="32" w:name="anexo-b-anexo-técnico"/>
    <w:p>
      <w:pPr>
        <w:pStyle w:val="Heading1"/>
      </w:pPr>
      <w:r>
        <w:t xml:space="preserve">ANEXO B — ANEXO TÉCNICO</w:t>
      </w:r>
    </w:p>
    <w:p>
      <w:pPr>
        <w:pStyle w:val="FirstParagraph"/>
      </w:pPr>
      <w:r>
        <w:rPr>
          <w:bCs/>
          <w:b/>
        </w:rPr>
        <w:t xml:space="preserve">Anexo al Contrato Marco No. [NÚMERO DE CONTRATO] — Cliente: [RAZÓN SOCIAL CLIENTE]</w:t>
      </w:r>
    </w:p>
    <w:p>
      <w:pPr>
        <w:pStyle w:val="BodyText"/>
      </w:pPr>
      <w:r>
        <w:t xml:space="preserve">Este documento define</w:t>
      </w:r>
      <w:r>
        <w:t xml:space="preserve"> </w:t>
      </w:r>
      <w:r>
        <w:rPr>
          <w:bCs/>
          <w:b/>
        </w:rPr>
        <w:t xml:space="preserve">exactamente</w:t>
      </w:r>
      <w:r>
        <w:t xml:space="preserve"> </w:t>
      </w:r>
      <w:r>
        <w:t xml:space="preserve">qué comprende el servicio contratado. Todo lo que no esté expresamente descrito aquí</w:t>
      </w:r>
      <w:r>
        <w:t xml:space="preserve"> </w:t>
      </w:r>
      <w:r>
        <w:rPr>
          <w:bCs/>
          <w:b/>
        </w:rPr>
        <w:t xml:space="preserve">no está incluido</w:t>
      </w:r>
      <w:r>
        <w:t xml:space="preserve"> </w:t>
      </w:r>
      <w:r>
        <w:t xml:space="preserve">y se considera servicio adicional sujeto a cotización, conforme a la Cláusula 5.2 del Contrato Marco.</w:t>
      </w:r>
    </w:p>
    <w:bookmarkStart w:id="20" w:name="descripción-general-de-la-solución"/>
    <w:p>
      <w:pPr>
        <w:pStyle w:val="Heading2"/>
      </w:pPr>
      <w:r>
        <w:t xml:space="preserve">1. DESCRIPCIÓN GENERAL DE LA SOLUCIÓN</w:t>
      </w:r>
    </w:p>
    <w:p>
      <w:pPr>
        <w:pStyle w:val="FirstParagraph"/>
      </w:pPr>
      <w:r>
        <w:rPr>
          <w:bCs/>
          <w:b/>
        </w:rPr>
        <w:t xml:space="preserve">[DESCRIPCIÓN DE LA SOLUCIÓN CONTRATADA]</w:t>
      </w:r>
    </w:p>
    <w:bookmarkEnd w:id="20"/>
    <w:bookmarkStart w:id="21" w:name="módulos-y-funcionalidades-contratadas"/>
    <w:p>
      <w:pPr>
        <w:pStyle w:val="Heading2"/>
      </w:pPr>
      <w:r>
        <w:t xml:space="preserve">2. MÓDULOS Y FUNCIONALIDADES CONTRATADAS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Alcance /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Agente conversacional de atención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[SÍ/NO]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[ALCANCE]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Agente de ventas / calificación de prospectos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[SÍ/NO]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[ALCANCE]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Recepción y gestión de pedidos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[SÍ/NO]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[ALCANCE]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Catálogo de productos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[SÍ/NO]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[N.° de productos]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Validación de comprobantes de 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[SÍ/NO]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[ALCANCE]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no recauda fondos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Panel de administración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[SÍ/NO]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[N.° de usuarios]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Reportes e indicadores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[SÍ/NO]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[ALCANCE]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Notificaciones y recordatorios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[SÍ/NO]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[ALCANCE]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Sujetos a Ley 2300 de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Integración con domicilios / logística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[SÍ/NO]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[ALCANCE]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Multi-establecimiento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[SÍ/NO]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[N.° establecimientos]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[OTRO MÓDULO]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[SÍ/NO]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[ALCANCE]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integraciones-con-servicios-de-terceros"/>
    <w:p>
      <w:pPr>
        <w:pStyle w:val="Heading2"/>
      </w:pPr>
      <w:r>
        <w:t xml:space="preserve">3. INTEGRACIONES CON SERVICIOS DE TERCEROS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Servicio de tercero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Titular de la cuenta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del consumo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Business API (WABA)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[SÍ/NO]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cargo del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 Business / Portafolio 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[SÍ/NO]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cargo del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Proveedor de modelos de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[SÍ/NO]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[INCLUIDO / FACTURADO]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Pasarela de pago</w:t>
            </w:r>
            <w:r>
              <w:t xml:space="preserve"> </w:t>
            </w:r>
            <w:r>
              <w:rPr>
                <w:bCs/>
                <w:b/>
              </w:rP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[SÍ/NO]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cargo del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POS / facturación</w:t>
            </w:r>
            <w:r>
              <w:t xml:space="preserve"> </w:t>
            </w:r>
            <w:r>
              <w:rPr>
                <w:bCs/>
                <w:b/>
              </w:rP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[SÍ/NO]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cargo del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Infraestructura en la nube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[OTRO]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[SÍ/NO]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[TITULAR]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[COSTO]</w:t>
            </w:r>
          </w:p>
        </w:tc>
      </w:tr>
    </w:tbl>
    <w:p>
      <w:pPr>
        <w:pStyle w:val="BlockText"/>
      </w:pPr>
      <w:r>
        <w:rPr>
          <w:bCs/>
          <w:b/>
        </w:rPr>
        <w:t xml:space="preserve">Regla contractual.</w:t>
      </w:r>
      <w:r>
        <w:t xml:space="preserve"> </w:t>
      </w:r>
      <w:r>
        <w:t xml:space="preserve">Las cuentas de WhatsApp Business API, Meta Business, números telefónicos y medios de pago son y permanecerán a nombre del CLIENTE (Cláusula 7.3 del Contrato Marco). MERIDIAN actúa únicamente como integrador técnico y</w:t>
      </w:r>
      <w:r>
        <w:t xml:space="preserve"> </w:t>
      </w:r>
      <w:r>
        <w:rPr>
          <w:bCs/>
          <w:b/>
        </w:rPr>
        <w:t xml:space="preserve">no responde</w:t>
      </w:r>
      <w:r>
        <w:t xml:space="preserve"> </w:t>
      </w:r>
      <w:r>
        <w:t xml:space="preserve">por bloqueos, suspensiones o cambios de política de dichos terceros (Cláusula 23).</w:t>
      </w:r>
    </w:p>
    <w:bookmarkEnd w:id="22"/>
    <w:bookmarkStart w:id="23" w:name="límites-técnicos-de-uso"/>
    <w:p>
      <w:pPr>
        <w:pStyle w:val="Heading2"/>
      </w:pPr>
      <w:r>
        <w:t xml:space="preserve">4. LÍMITES TÉCNICOS DE USO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Límite contratado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Conversaciones mensuales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[CANTIDAD]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Mensajes salientes mensuales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[CANTIDAD]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Pedidos / transacciones mensuales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[CANTIDAD]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Usuarios Autorizados simultáneos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[CANTIDAD]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Establecimientos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[CANTIDAD]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Almacenamiento de archivos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[CANTIDAD]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Retención de historial de conversaciones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[CANTIDAD]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Llamadas a API por minuto, si aplica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[CANTIDAD]</w:t>
            </w:r>
          </w:p>
        </w:tc>
      </w:tr>
    </w:tbl>
    <w:p>
      <w:pPr>
        <w:pStyle w:val="BodyText"/>
      </w:pPr>
      <w:r>
        <w:t xml:space="preserve">El uso por encima de estos límites se factura conforme al Anexo Comercial y puede dar lugar a las medidas de la Cláusula 8.5 del Contrato Marco.</w:t>
      </w:r>
    </w:p>
    <w:bookmarkEnd w:id="23"/>
    <w:bookmarkStart w:id="24" w:name="Xdbf3014053882afcd4e68849d9970fb7419b5a7"/>
    <w:p>
      <w:pPr>
        <w:pStyle w:val="Heading2"/>
      </w:pPr>
      <w:r>
        <w:t xml:space="preserve">5. ENTREGABLES Y CRONOGRAMA DE IMPLEMENTACIÓN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Levantamiento de información y catálogo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días desde la 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CLIENTE entrega insumos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del agente y flujos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Conexión de cuentas de terceros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CLIENTE habilita accesos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y ajustes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Puesta en producción —</w:t>
            </w:r>
            <w:r>
              <w:t xml:space="preserve"> </w:t>
            </w:r>
            <w:r>
              <w:rPr>
                <w:bCs/>
                <w:b/>
              </w:rPr>
              <w:t xml:space="preserve">Acta de Instalación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[X]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Ambas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Cs/>
          <w:b/>
        </w:rPr>
        <w:t xml:space="preserve">Los plazos de MERIDIAN se suspenden automáticamente</w:t>
      </w:r>
      <w:r>
        <w:t xml:space="preserve"> </w:t>
      </w:r>
      <w:r>
        <w:t xml:space="preserve">mientras EL CLIENTE no entregue los insumos, accesos o aprobaciones a su cargo. La demora del CLIENTE no genera responsabilidad ni descuento alguno.</w:t>
      </w:r>
    </w:p>
    <w:bookmarkEnd w:id="24"/>
    <w:bookmarkStart w:id="25" w:name="Xeec3a29b6a0f37508899f42b30a4fbd5943589b"/>
    <w:p>
      <w:pPr>
        <w:pStyle w:val="Heading2"/>
      </w:pPr>
      <w:r>
        <w:t xml:space="preserve">6. INSUMOS Y OBLIGACIONES A CARGO DEL CLIENTE</w:t>
      </w:r>
    </w:p>
    <w:p>
      <w:pPr>
        <w:numPr>
          <w:ilvl w:val="0"/>
          <w:numId w:val="1001"/>
        </w:numPr>
        <w:pStyle w:val="Compact"/>
      </w:pPr>
      <w:r>
        <w:t xml:space="preserve">Catálogo de productos o servicios con precios, descripciones e imágenes.</w:t>
      </w:r>
    </w:p>
    <w:p>
      <w:pPr>
        <w:numPr>
          <w:ilvl w:val="0"/>
          <w:numId w:val="1001"/>
        </w:numPr>
        <w:pStyle w:val="Compact"/>
      </w:pPr>
      <w:r>
        <w:t xml:space="preserve">Políticas comerciales: horarios, cobertura, tiempos de entrega, formas de pago, devoluciones.</w:t>
      </w:r>
    </w:p>
    <w:p>
      <w:pPr>
        <w:numPr>
          <w:ilvl w:val="0"/>
          <w:numId w:val="1001"/>
        </w:numPr>
        <w:pStyle w:val="Compact"/>
      </w:pPr>
      <w:r>
        <w:t xml:space="preserve">Cuenta de WhatsApp Business API verificada y número telefónico habilitado.</w:t>
      </w:r>
    </w:p>
    <w:p>
      <w:pPr>
        <w:numPr>
          <w:ilvl w:val="0"/>
          <w:numId w:val="1001"/>
        </w:numPr>
        <w:pStyle w:val="Compact"/>
      </w:pPr>
      <w:r>
        <w:t xml:space="preserve">Accesos a Meta Business con rol de administrador para MERIDIAN.</w:t>
      </w:r>
    </w:p>
    <w:p>
      <w:pPr>
        <w:numPr>
          <w:ilvl w:val="0"/>
          <w:numId w:val="1001"/>
        </w:numPr>
        <w:pStyle w:val="Compact"/>
      </w:pPr>
      <w:r>
        <w:t xml:space="preserve">Datos de las cuentas de recaudo para la validación de comprobantes.</w:t>
      </w:r>
    </w:p>
    <w:p>
      <w:pPr>
        <w:numPr>
          <w:ilvl w:val="0"/>
          <w:numId w:val="1001"/>
        </w:numPr>
        <w:pStyle w:val="Compact"/>
      </w:pPr>
      <w:r>
        <w:t xml:space="preserve">Textos institucionales, tono de marca y preguntas frecuentes.</w:t>
      </w:r>
    </w:p>
    <w:p>
      <w:pPr>
        <w:numPr>
          <w:ilvl w:val="0"/>
          <w:numId w:val="1001"/>
        </w:numPr>
        <w:pStyle w:val="Compact"/>
      </w:pPr>
      <w:r>
        <w:t xml:space="preserve">Designación del interlocutor técnico con capacidad de decisión.</w:t>
      </w:r>
    </w:p>
    <w:p>
      <w:pPr>
        <w:numPr>
          <w:ilvl w:val="0"/>
          <w:numId w:val="1001"/>
        </w:numPr>
        <w:pStyle w:val="Compact"/>
      </w:pPr>
      <w:r>
        <w:t xml:space="preserve">Autorizaciones de tratamiento de datos personales de sus clientes.</w:t>
      </w:r>
    </w:p>
    <w:p>
      <w:pPr>
        <w:numPr>
          <w:ilvl w:val="0"/>
          <w:numId w:val="1001"/>
        </w:numPr>
        <w:pStyle w:val="Compact"/>
      </w:pPr>
      <w:r>
        <w:t xml:space="preserve">Aviso de privacidad y política de tratamiento publicados.</w:t>
      </w:r>
    </w:p>
    <w:bookmarkEnd w:id="25"/>
    <w:bookmarkStart w:id="26" w:name="soporte-técnico"/>
    <w:p>
      <w:pPr>
        <w:pStyle w:val="Heading2"/>
      </w:pPr>
      <w:r>
        <w:t xml:space="preserve">7. SOPORTE TÉCNICO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Canales de soporte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[CORREO / WHATSAPP / PANEL]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Horario de atención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[HORARIO]</w:t>
            </w:r>
            <w:r>
              <w:t xml:space="preserve"> </w:t>
            </w:r>
            <w:r>
              <w:t xml:space="preserve">(días hábiles, hora de Colombia)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de primera respuesta — incidencia crítica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[X] horas hábiles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de primera respuesta — incidencia 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[X] horas hábiles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de primera respuesta — solicitud 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[X] horas hábiles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Escalamiento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[PROCEDIMIENTO]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Mantenimientos programados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aviso previo de</w:t>
            </w:r>
            <w:r>
              <w:t xml:space="preserve"> </w:t>
            </w:r>
            <w:r>
              <w:rPr>
                <w:bCs/>
                <w:b/>
              </w:rPr>
              <w:t xml:space="preserve">[X] horas</w:t>
            </w:r>
            <w:r>
              <w:t xml:space="preserve">, preferentemente fuera de horario comercial</w:t>
            </w:r>
          </w:p>
        </w:tc>
      </w:tr>
    </w:tbl>
    <w:p>
      <w:pPr>
        <w:pStyle w:val="BodyText"/>
      </w:pPr>
      <w:r>
        <w:rPr>
          <w:bCs/>
          <w:b/>
        </w:rPr>
        <w:t xml:space="preserve">Clasificación de incidencias:</w:t>
      </w:r>
      <w:r>
        <w:t xml:space="preserve"> </w:t>
      </w:r>
      <w:r>
        <w:rPr>
          <w:iCs/>
          <w:i/>
        </w:rPr>
        <w:t xml:space="preserve">Crítica</w:t>
      </w:r>
      <w:r>
        <w:t xml:space="preserve"> </w:t>
      </w:r>
      <w:r>
        <w:t xml:space="preserve">— el servicio está totalmente inoperante para todos los usuarios.</w:t>
      </w:r>
      <w:r>
        <w:t xml:space="preserve"> </w:t>
      </w:r>
      <w:r>
        <w:rPr>
          <w:iCs/>
          <w:i/>
        </w:rPr>
        <w:t xml:space="preserve">Media</w:t>
      </w:r>
      <w:r>
        <w:t xml:space="preserve"> </w:t>
      </w:r>
      <w:r>
        <w:t xml:space="preserve">— una funcionalidad principal está degradada pero existe alternativa.</w:t>
      </w:r>
      <w:r>
        <w:t xml:space="preserve"> </w:t>
      </w:r>
      <w:r>
        <w:rPr>
          <w:iCs/>
          <w:i/>
        </w:rPr>
        <w:t xml:space="preserve">Baja</w:t>
      </w:r>
      <w:r>
        <w:t xml:space="preserve"> </w:t>
      </w:r>
      <w:r>
        <w:t xml:space="preserve">— consulta, solicitud de cambio menor o incidencia cosmética.</w:t>
      </w:r>
    </w:p>
    <w:p>
      <w:pPr>
        <w:pStyle w:val="BodyText"/>
      </w:pPr>
      <w:r>
        <w:rPr>
          <w:bCs/>
          <w:b/>
        </w:rPr>
        <w:t xml:space="preserve">No constituyen incidencias imputables a MERIDIAN:</w:t>
      </w:r>
      <w:r>
        <w:t xml:space="preserve"> </w:t>
      </w:r>
      <w:r>
        <w:t xml:space="preserve">fallas de conectividad del CLIENTE; bloqueos o caídas de WhatsApp, Meta u otros terceros; errores derivados de información incorrecta suministrada por EL CLIENTE; solicitudes de cambio de alcance; uso indebido por Usuarios Autorizados.</w:t>
      </w:r>
    </w:p>
    <w:bookmarkEnd w:id="26"/>
    <w:bookmarkStart w:id="27" w:name="disponibilidad"/>
    <w:p>
      <w:pPr>
        <w:pStyle w:val="Heading2"/>
      </w:pPr>
      <w:r>
        <w:t xml:space="preserve">8. DISPONIBILIDAD</w:t>
      </w:r>
    </w:p>
    <w:p>
      <w:pPr>
        <w:pStyle w:val="FirstParagraph"/>
      </w:pPr>
      <w:r>
        <w:rPr>
          <w:bCs/>
          <w:b/>
        </w:rPr>
        <w:t xml:space="preserve">[SIN COMPROMISO DE DISPONIBILIDAD / DISPONIBILIDAD OBJETIVO DEL [X]% MENSUAL]</w:t>
      </w:r>
    </w:p>
    <w:p>
      <w:pPr>
        <w:pStyle w:val="BlockText"/>
      </w:pPr>
      <w:r>
        <w:t xml:space="preserve">Si se pacta un porcentaje de disponibilidad, debe suscribirse el</w:t>
      </w:r>
      <w:r>
        <w:t xml:space="preserve"> </w:t>
      </w:r>
      <w:r>
        <w:rPr>
          <w:bCs/>
          <w:b/>
        </w:rPr>
        <w:t xml:space="preserve">Anexo E — SLA</w:t>
      </w:r>
      <w:r>
        <w:t xml:space="preserve">, precisando: método de medición, exclusiones (mantenimientos programados, fuerza mayor, fallas de terceros, causas imputables al CLIENTE), y el remedio único, que será un</w:t>
      </w:r>
      <w:r>
        <w:t xml:space="preserve"> </w:t>
      </w:r>
      <w:r>
        <w:rPr>
          <w:bCs/>
          <w:b/>
        </w:rPr>
        <w:t xml:space="preserve">crédito en servicio</w:t>
      </w:r>
      <w:r>
        <w:t xml:space="preserve"> </w:t>
      </w:r>
      <w:r>
        <w:t xml:space="preserve">y nunca una indemnización en dinero. Sin Anexo E suscrito, MERIDIAN no asume compromiso de disponibilidad y la obligación se mantiene como de medio (Cláusula 4.3 del Contrato Marco).</w:t>
      </w:r>
    </w:p>
    <w:bookmarkEnd w:id="27"/>
    <w:bookmarkStart w:id="28" w:name="X37de8e9598e75b7ca0bb5500ffdc2bff8c06064"/>
    <w:p>
      <w:pPr>
        <w:pStyle w:val="Heading2"/>
      </w:pPr>
      <w:r>
        <w:t xml:space="preserve">9. AMBIENTE TÉCNICO Y REQUISITOS MÍNIMOS DEL CLIENTE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Conexión a internet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[ESPECIFICACIÓN]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Dispositivos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[ESPECIFICACIÓN]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Navegador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[ESPECIFICACIÓN]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operativo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[ESPECIFICACIÓN]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Otros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[ESPECIFICACIÓN]</w:t>
            </w:r>
          </w:p>
        </w:tc>
      </w:tr>
    </w:tbl>
    <w:bookmarkEnd w:id="28"/>
    <w:bookmarkStart w:id="29" w:name="tratamiento-de-datos-referencia"/>
    <w:p>
      <w:pPr>
        <w:pStyle w:val="Heading2"/>
      </w:pPr>
      <w:r>
        <w:t xml:space="preserve">10. TRATAMIENTO DE DATOS — REFERENCIA</w:t>
      </w:r>
    </w:p>
    <w:p>
      <w:pPr>
        <w:pStyle w:val="FirstParagraph"/>
      </w:pPr>
      <w:r>
        <w:t xml:space="preserve">Las condiciones de tratamiento de datos personales, la lista de subencargados y las medidas de seguridad se encuentran en el</w:t>
      </w:r>
      <w:r>
        <w:t xml:space="preserve"> </w:t>
      </w:r>
      <w:r>
        <w:rPr>
          <w:bCs/>
          <w:b/>
        </w:rPr>
        <w:t xml:space="preserve">Anexo C — Encargo del Tratamiento de Datos Personales</w:t>
      </w:r>
      <w:r>
        <w:t xml:space="preserve">, que forma parte integral del Contrato.</w:t>
      </w:r>
    </w:p>
    <w:bookmarkEnd w:id="29"/>
    <w:bookmarkStart w:id="30" w:name="exclusiones-expresas"/>
    <w:p>
      <w:pPr>
        <w:pStyle w:val="Heading2"/>
      </w:pPr>
      <w:r>
        <w:t xml:space="preserve">11. EXCLUSIONES EXPRESAS</w:t>
      </w:r>
    </w:p>
    <w:p>
      <w:pPr>
        <w:pStyle w:val="FirstParagraph"/>
      </w:pPr>
      <w:r>
        <w:t xml:space="preserve">Salvo pacto escrito en contrario,</w:t>
      </w:r>
      <w:r>
        <w:t xml:space="preserve"> </w:t>
      </w:r>
      <w:r>
        <w:rPr>
          <w:bCs/>
          <w:b/>
        </w:rPr>
        <w:t xml:space="preserve">no forman parte del servicio contratado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Desarrollos a la medida no descritos en la sección 2.</w:t>
      </w:r>
    </w:p>
    <w:p>
      <w:pPr>
        <w:numPr>
          <w:ilvl w:val="0"/>
          <w:numId w:val="1002"/>
        </w:numPr>
        <w:pStyle w:val="Compact"/>
      </w:pPr>
      <w:r>
        <w:t xml:space="preserve">Integraciones con sistemas no listados en la sección 3.</w:t>
      </w:r>
    </w:p>
    <w:p>
      <w:pPr>
        <w:numPr>
          <w:ilvl w:val="0"/>
          <w:numId w:val="1002"/>
        </w:numPr>
        <w:pStyle w:val="Compact"/>
      </w:pPr>
      <w:r>
        <w:t xml:space="preserve">Migración de datos históricos.</w:t>
      </w:r>
    </w:p>
    <w:p>
      <w:pPr>
        <w:numPr>
          <w:ilvl w:val="0"/>
          <w:numId w:val="1002"/>
        </w:numPr>
        <w:pStyle w:val="Compact"/>
      </w:pPr>
      <w:r>
        <w:t xml:space="preserve">Capacitación adicional a la señalada en la sección 5.</w:t>
      </w:r>
    </w:p>
    <w:p>
      <w:pPr>
        <w:numPr>
          <w:ilvl w:val="0"/>
          <w:numId w:val="1002"/>
        </w:numPr>
        <w:pStyle w:val="Compact"/>
      </w:pPr>
      <w:r>
        <w:t xml:space="preserve">Soporte presencial o en sitio.</w:t>
      </w:r>
    </w:p>
    <w:p>
      <w:pPr>
        <w:numPr>
          <w:ilvl w:val="0"/>
          <w:numId w:val="1002"/>
        </w:numPr>
        <w:pStyle w:val="Compact"/>
      </w:pPr>
      <w:r>
        <w:t xml:space="preserve">Adquisición de licencias, dominios o servicios de terceros a nombre del CLIENTE.</w:t>
      </w:r>
    </w:p>
    <w:p>
      <w:pPr>
        <w:numPr>
          <w:ilvl w:val="0"/>
          <w:numId w:val="1002"/>
        </w:numPr>
        <w:pStyle w:val="Compact"/>
      </w:pPr>
      <w:r>
        <w:t xml:space="preserve">Creación de contenido, fotografía, diseño gráfico o copywriting.</w:t>
      </w:r>
    </w:p>
    <w:p>
      <w:pPr>
        <w:numPr>
          <w:ilvl w:val="0"/>
          <w:numId w:val="1002"/>
        </w:numPr>
        <w:pStyle w:val="Compact"/>
      </w:pPr>
      <w:r>
        <w:t xml:space="preserve">Gestión de campañas publicitarias.</w:t>
      </w:r>
    </w:p>
    <w:p>
      <w:pPr>
        <w:numPr>
          <w:ilvl w:val="0"/>
          <w:numId w:val="1002"/>
        </w:numPr>
        <w:pStyle w:val="Compact"/>
      </w:pPr>
      <w:r>
        <w:t xml:space="preserve">Administración de las cuentas del CLIENTE ante terceros.</w:t>
      </w:r>
    </w:p>
    <w:p>
      <w:pPr>
        <w:numPr>
          <w:ilvl w:val="0"/>
          <w:numId w:val="1002"/>
        </w:numPr>
        <w:pStyle w:val="Compact"/>
      </w:pPr>
      <w:r>
        <w:t xml:space="preserve">Asesoría legal, contable o tributaria.</w:t>
      </w:r>
    </w:p>
    <w:p>
      <w:pPr>
        <w:numPr>
          <w:ilvl w:val="0"/>
          <w:numId w:val="1002"/>
        </w:numPr>
        <w:pStyle w:val="Compact"/>
      </w:pPr>
      <w:r>
        <w:t xml:space="preserve">Hardware, conectividad y equipos, salvo Anexo D suscrito.</w:t>
      </w:r>
    </w:p>
    <w:bookmarkEnd w:id="30"/>
    <w:bookmarkStart w:id="31" w:name="firmas"/>
    <w:p>
      <w:pPr>
        <w:pStyle w:val="Heading2"/>
      </w:pPr>
      <w:r>
        <w:t xml:space="preserve">12. FIRMAS</w:t>
      </w:r>
    </w:p>
    <w:p>
      <w:pPr>
        <w:pStyle w:val="FirstParagraph"/>
      </w:pPr>
      <w:r>
        <w:t xml:space="preserve">Suscrito en</w:t>
      </w:r>
      <w:r>
        <w:t xml:space="preserve"> </w:t>
      </w:r>
      <w:r>
        <w:rPr>
          <w:bCs/>
          <w:b/>
        </w:rPr>
        <w:t xml:space="preserve">[CIUDAD]</w:t>
      </w:r>
      <w:r>
        <w:t xml:space="preserve">, a los</w:t>
      </w:r>
      <w:r>
        <w:t xml:space="preserve"> </w:t>
      </w:r>
      <w:r>
        <w:rPr>
          <w:bCs/>
          <w:b/>
        </w:rPr>
        <w:t xml:space="preserve">[DÍA]</w:t>
      </w:r>
      <w:r>
        <w:t xml:space="preserve"> </w:t>
      </w:r>
      <w:r>
        <w:t xml:space="preserve">días del mes de</w:t>
      </w:r>
      <w:r>
        <w:t xml:space="preserve"> </w:t>
      </w:r>
      <w:r>
        <w:rPr>
          <w:bCs/>
          <w:b/>
        </w:rPr>
        <w:t xml:space="preserve">[MES]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[AÑO]</w:t>
      </w:r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 MERIDIAN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 EL CLIENTE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MIGUEL ÁNGEL MÉNDEZ RANGEL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[REPRESENTANTE LEGAL]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MERIDIAN TECH S.A.S.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[RAZÓN SOCIAL CLIENTE]</w:t>
            </w:r>
          </w:p>
        </w:tc>
      </w:tr>
    </w:tbl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C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B — ANEXO TÉCNICO</dc:title>
  <dc:creator/>
  <dc:language>es-CO</dc:language>
  <cp:keywords/>
  <dcterms:created xsi:type="dcterms:W3CDTF">2026-09-07T07:14:03Z</dcterms:created>
  <dcterms:modified xsi:type="dcterms:W3CDTF">2026-09-07T07:14:03Z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MERIDIAN TECH S.A.S.</vt:lpwstr>
  </property>
</Properties>
</file>