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2ef15ccc6984e732ae5369550fb655737ba617"/>
    <w:p>
      <w:pPr>
        <w:pStyle w:val="Heading1"/>
      </w:pPr>
      <w:r>
        <w:t xml:space="preserve">MVG Acceptance Plane Zenodo + GitHub Launch Runbook</w:t>
      </w:r>
    </w:p>
    <w:bookmarkStart w:id="20" w:name="canonical-provenance-package-v1.0.0"/>
    <w:p>
      <w:pPr>
        <w:pStyle w:val="Heading2"/>
      </w:pPr>
      <w:r>
        <w:t xml:space="preserve">Canonical provenance package v1.0.0</w:t>
      </w:r>
    </w:p>
    <w:p>
      <w:pPr>
        <w:pStyle w:val="FirstParagraph"/>
      </w:pPr>
      <w:r>
        <w:rPr>
          <w:b/>
          <w:bCs/>
        </w:rPr>
        <w:t xml:space="preserve">Meridian Verity Group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Scott Lee</w:t>
      </w:r>
      <w:r>
        <w:br/>
      </w:r>
      <w:r>
        <w:rPr>
          <w:b/>
          <w:bCs/>
        </w:rPr>
        <w:t xml:space="preserve">Release date:</w:t>
      </w:r>
      <w:r>
        <w:t xml:space="preserve"> </w:t>
      </w:r>
      <w:r>
        <w:t xml:space="preserve">2026-06-11</w:t>
      </w:r>
      <w:r>
        <w:br/>
      </w:r>
      <w:r>
        <w:rPr>
          <w:b/>
          <w:bCs/>
        </w:rPr>
        <w:t xml:space="preserve">Canonical DOI:</w:t>
      </w:r>
      <w:r>
        <w:t xml:space="preserve"> </w:t>
      </w:r>
      <w:r>
        <w:t xml:space="preserve">https://doi.org/10.5281/zenodo.20645907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This runbook is operational guidance for publishing the public architecture thesis. It is not legal advice, patent advice, compliance certification, or implementation disclosure.</w:t>
      </w:r>
    </w:p>
    <w:p>
      <w:r>
        <w:pict>
          <v:rect style="width:0;height:1.5pt" o:hralign="center" o:hrstd="t" o:hr="t"/>
        </w:pict>
      </w:r>
    </w:p>
    <w:bookmarkEnd w:id="20"/>
    <w:bookmarkStart w:id="21" w:name="strategic-goal"/>
    <w:p>
      <w:pPr>
        <w:pStyle w:val="Heading2"/>
      </w:pPr>
      <w:r>
        <w:t xml:space="preserve">1. Strategic Goal</w:t>
      </w:r>
    </w:p>
    <w:p>
      <w:pPr>
        <w:pStyle w:val="FirstParagraph"/>
      </w:pPr>
      <w:r>
        <w:t xml:space="preserve">The goal is not to claim absolute global invention priority or replace patent filing strategy.</w:t>
      </w:r>
    </w:p>
    <w:p>
      <w:pPr>
        <w:pStyle w:val="BodyText"/>
      </w:pPr>
      <w:r>
        <w:t xml:space="preserve">The goal is to create a public, citable, timestamped, versioned reference showing that Meridian Verity Group publicly defined</w:t>
      </w:r>
      <w:r>
        <w:t xml:space="preserve"> </w:t>
      </w:r>
      <w:r>
        <w:rPr>
          <w:b/>
          <w:bCs/>
        </w:rPr>
        <w:t xml:space="preserve">the Acceptance Plane</w:t>
      </w:r>
      <w:r>
        <w:t xml:space="preserve"> </w:t>
      </w:r>
      <w:r>
        <w:t xml:space="preserve">as an architectural function for evidence-bound acceptance of autonomous AI actions before impact.</w:t>
      </w:r>
    </w:p>
    <w:p>
      <w:pPr>
        <w:pStyle w:val="BodyText"/>
      </w:pPr>
      <w:r>
        <w:t xml:space="preserve">Recommended public wording:</w:t>
      </w:r>
    </w:p>
    <w:p>
      <w:pPr>
        <w:pStyle w:val="BlockText"/>
      </w:pPr>
      <w:r>
        <w:rPr>
          <w:b/>
          <w:bCs/>
        </w:rPr>
        <w:t xml:space="preserve">Meridian Verity Group is publishing a public architecture thesis for the Acceptance Plane in agentic AI infrastructure.</w:t>
      </w:r>
    </w:p>
    <w:p>
      <w:pPr>
        <w:pStyle w:val="FirstParagraph"/>
      </w:pPr>
      <w:r>
        <w:t xml:space="preserve">Avoid unsupported absolute claims such as</w:t>
      </w:r>
      <w:r>
        <w:t xml:space="preserve"> </w:t>
      </w:r>
      <w:r>
        <w:t xml:space="preserve">“</w:t>
      </w:r>
      <w:r>
        <w:t xml:space="preserve">first ever in the world,</w:t>
      </w:r>
      <w:r>
        <w:t xml:space="preserve">”</w:t>
      </w:r>
      <w:r>
        <w:t xml:space="preserve"> </w:t>
      </w:r>
      <w:r>
        <w:t xml:space="preserve">“</w:t>
      </w:r>
      <w:r>
        <w:t xml:space="preserve">formal standard,</w:t>
      </w:r>
      <w:r>
        <w:t xml:space="preserve">”</w:t>
      </w:r>
      <w:r>
        <w:t xml:space="preserve"> </w:t>
      </w:r>
      <w:r>
        <w:t xml:space="preserve">“</w:t>
      </w:r>
      <w:r>
        <w:t xml:space="preserve">patent-protected mechanism,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compliance guarantee.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provenance-stack"/>
    <w:p>
      <w:pPr>
        <w:pStyle w:val="Heading2"/>
      </w:pPr>
      <w:r>
        <w:t xml:space="preserve">2. Provenance Stack</w:t>
      </w:r>
    </w:p>
    <w:p>
      <w:pPr>
        <w:pStyle w:val="FirstParagraph"/>
      </w:pPr>
      <w:r>
        <w:rPr>
          <w:b/>
          <w:bCs/>
        </w:rPr>
        <w:t xml:space="preserve">Zenodo manual technical report DOI:</w:t>
      </w:r>
      <w:r>
        <w:t xml:space="preserve"> </w:t>
      </w:r>
      <w:r>
        <w:t xml:space="preserve">canonical citation: https://doi.org/10.5281/zenodo.20645907.</w:t>
      </w:r>
    </w:p>
    <w:p>
      <w:pPr>
        <w:pStyle w:val="BodyText"/>
      </w:pPr>
      <w:r>
        <w:rPr>
          <w:b/>
          <w:bCs/>
        </w:rPr>
        <w:t xml:space="preserve">GitHub public repository:</w:t>
      </w:r>
      <w:r>
        <w:t xml:space="preserve"> </w:t>
      </w:r>
      <w:r>
        <w:t xml:space="preserve">public source, glossary, workflow, diagrams, and citation metadata.</w:t>
      </w:r>
    </w:p>
    <w:p>
      <w:pPr>
        <w:pStyle w:val="BodyText"/>
      </w:pPr>
      <w:r>
        <w:rPr>
          <w:b/>
          <w:bCs/>
        </w:rPr>
        <w:t xml:space="preserve">Immutable GitHub release:</w:t>
      </w:r>
      <w:r>
        <w:t xml:space="preserve"> </w:t>
      </w:r>
      <w:r>
        <w:t xml:space="preserve">integrity layer for the release assets and associated tag.</w:t>
      </w:r>
    </w:p>
    <w:p>
      <w:pPr>
        <w:pStyle w:val="BodyText"/>
      </w:pPr>
      <w:r>
        <w:rPr>
          <w:b/>
          <w:bCs/>
        </w:rPr>
        <w:t xml:space="preserve">Zenodo GitHub release archive DOI:</w:t>
      </w:r>
      <w:r>
        <w:t xml:space="preserve"> </w:t>
      </w:r>
      <w:r>
        <w:t xml:space="preserve">versioned source/provenance archive created after GitHub release.</w:t>
      </w:r>
    </w:p>
    <w:p>
      <w:pPr>
        <w:pStyle w:val="BodyText"/>
      </w:pPr>
      <w:r>
        <w:rPr>
          <w:b/>
          <w:bCs/>
        </w:rPr>
        <w:t xml:space="preserve">MVG LinkedIn article and website page:</w:t>
      </w:r>
      <w:r>
        <w:t xml:space="preserve"> </w:t>
      </w:r>
      <w:r>
        <w:t xml:space="preserve">market narrative and long-term category home.</w:t>
      </w:r>
    </w:p>
    <w:p>
      <w:pPr>
        <w:pStyle w:val="BodyText"/>
      </w:pPr>
      <w:r>
        <w:t xml:space="preserve">The clean separation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Cite this:</w:t>
      </w:r>
      <w:r>
        <w:t xml:space="preserve"> </w:t>
      </w:r>
      <w:r>
        <w:t xml:space="preserve">Zenodo manual technical report DOI: https://doi.org/10.5281/zenodo.20645907.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source/provenance:</w:t>
      </w:r>
      <w:r>
        <w:t xml:space="preserve"> </w:t>
      </w:r>
      <w:r>
        <w:t xml:space="preserve">GitHub release tag, commit hash, SHA256 manifest, and Zenodo GitHub archive DOI.</w:t>
      </w:r>
    </w:p>
    <w:p>
      <w:r>
        <w:pict>
          <v:rect style="width:0;height:1.5pt" o:hralign="center" o:hrstd="t" o:hr="t"/>
        </w:pict>
      </w:r>
    </w:p>
    <w:bookmarkEnd w:id="22"/>
    <w:bookmarkStart w:id="23" w:name="Xff6ec75b3815fded72dedd4ade2e3743d9aa40a"/>
    <w:p>
      <w:pPr>
        <w:pStyle w:val="Heading2"/>
      </w:pPr>
      <w:r>
        <w:t xml:space="preserve">3. Current Reality After LinkedIn Publication</w:t>
      </w:r>
    </w:p>
    <w:p>
      <w:pPr>
        <w:pStyle w:val="FirstParagraph"/>
      </w:pPr>
      <w:r>
        <w:t xml:space="preserve">Because the first LinkedIn article has already been published, the launch is now a canonicalization strategy rather than a pre-publication DOI-first strategy.</w:t>
      </w:r>
    </w:p>
    <w:p>
      <w:pPr>
        <w:pStyle w:val="BodyText"/>
      </w:pPr>
      <w:r>
        <w:t xml:space="preserve">Use this sequence:</w:t>
      </w:r>
    </w:p>
    <w:p>
      <w:pPr>
        <w:pStyle w:val="Compact"/>
        <w:numPr>
          <w:ilvl w:val="0"/>
          <w:numId w:val="1002"/>
        </w:numPr>
      </w:pPr>
      <w:r>
        <w:t xml:space="preserve">LinkedIn article remains the market narrative already live.</w:t>
      </w:r>
    </w:p>
    <w:p>
      <w:pPr>
        <w:pStyle w:val="Compact"/>
        <w:numPr>
          <w:ilvl w:val="0"/>
          <w:numId w:val="1002"/>
        </w:numPr>
      </w:pPr>
      <w:r>
        <w:t xml:space="preserve">Zenodo report becomes the canonical citable v1.0.0 record.</w:t>
      </w:r>
    </w:p>
    <w:p>
      <w:pPr>
        <w:pStyle w:val="Compact"/>
        <w:numPr>
          <w:ilvl w:val="0"/>
          <w:numId w:val="1002"/>
        </w:numPr>
      </w:pPr>
      <w:r>
        <w:t xml:space="preserve">GitHub release becomes the public source/provenance package.</w:t>
      </w:r>
    </w:p>
    <w:p>
      <w:pPr>
        <w:pStyle w:val="Compact"/>
        <w:numPr>
          <w:ilvl w:val="0"/>
          <w:numId w:val="1002"/>
        </w:numPr>
      </w:pPr>
      <w:r>
        <w:t xml:space="preserve">MVG website becomes the long-term category home.</w:t>
      </w:r>
    </w:p>
    <w:p>
      <w:pPr>
        <w:pStyle w:val="Compact"/>
        <w:numPr>
          <w:ilvl w:val="0"/>
          <w:numId w:val="1002"/>
        </w:numPr>
      </w:pPr>
      <w:r>
        <w:t xml:space="preserve">LinkedIn article, pinned company post, and partner DMs are updated with DOI/provenance links after publication.</w:t>
      </w:r>
    </w:p>
    <w:p>
      <w:pPr>
        <w:pStyle w:val="FirstParagraph"/>
      </w:pPr>
      <w:r>
        <w:t xml:space="preserve">This is still strong. It creates a durable reference point after the initial public thesis.</w:t>
      </w:r>
    </w:p>
    <w:p>
      <w:r>
        <w:pict>
          <v:rect style="width:0;height:1.5pt" o:hralign="center" o:hrstd="t" o:hr="t"/>
        </w:pict>
      </w:r>
    </w:p>
    <w:bookmarkEnd w:id="23"/>
    <w:bookmarkStart w:id="24" w:name="ip-redline-principle"/>
    <w:p>
      <w:pPr>
        <w:pStyle w:val="Heading2"/>
      </w:pPr>
      <w:r>
        <w:t xml:space="preserve">4. IP Redline Principle</w:t>
      </w:r>
    </w:p>
    <w:p>
      <w:pPr>
        <w:pStyle w:val="BlockText"/>
      </w:pPr>
      <w:r>
        <w:rPr>
          <w:b/>
          <w:bCs/>
        </w:rPr>
        <w:t xml:space="preserve">Publish the category. Protect the mechanism.</w:t>
      </w:r>
    </w:p>
    <w:p>
      <w:pPr>
        <w:pStyle w:val="FirstParagraph"/>
      </w:pPr>
      <w:r>
        <w:t xml:space="preserve">Publish:</w:t>
      </w:r>
    </w:p>
    <w:p>
      <w:pPr>
        <w:pStyle w:val="Compact"/>
        <w:numPr>
          <w:ilvl w:val="0"/>
          <w:numId w:val="1003"/>
        </w:numPr>
      </w:pPr>
      <w:r>
        <w:t xml:space="preserve">Acceptance Plane definition.</w:t>
      </w:r>
    </w:p>
    <w:p>
      <w:pPr>
        <w:pStyle w:val="Compact"/>
        <w:numPr>
          <w:ilvl w:val="0"/>
          <w:numId w:val="1003"/>
        </w:numPr>
      </w:pPr>
      <w:r>
        <w:t xml:space="preserve">Public architecture thesis.</w:t>
      </w:r>
    </w:p>
    <w:p>
      <w:pPr>
        <w:pStyle w:val="Compact"/>
        <w:numPr>
          <w:ilvl w:val="0"/>
          <w:numId w:val="1003"/>
        </w:numPr>
      </w:pPr>
      <w:r>
        <w:t xml:space="preserve">Conceptual workflow.</w:t>
      </w:r>
    </w:p>
    <w:p>
      <w:pPr>
        <w:pStyle w:val="Compact"/>
        <w:numPr>
          <w:ilvl w:val="0"/>
          <w:numId w:val="1003"/>
        </w:numPr>
      </w:pPr>
      <w:r>
        <w:t xml:space="preserve">High-level evidence categories.</w:t>
      </w:r>
    </w:p>
    <w:p>
      <w:pPr>
        <w:pStyle w:val="Compact"/>
        <w:numPr>
          <w:ilvl w:val="0"/>
          <w:numId w:val="1003"/>
        </w:numPr>
      </w:pPr>
      <w:r>
        <w:t xml:space="preserve">Conceptual diagrams.</w:t>
      </w:r>
    </w:p>
    <w:p>
      <w:pPr>
        <w:pStyle w:val="Compact"/>
        <w:numPr>
          <w:ilvl w:val="0"/>
          <w:numId w:val="1003"/>
        </w:numPr>
      </w:pPr>
      <w:r>
        <w:t xml:space="preserve">Glossary and FAQ.</w:t>
      </w:r>
    </w:p>
    <w:p>
      <w:pPr>
        <w:pStyle w:val="Compact"/>
        <w:numPr>
          <w:ilvl w:val="0"/>
          <w:numId w:val="1003"/>
        </w:numPr>
      </w:pPr>
      <w:r>
        <w:t xml:space="preserve">Public claims style guide.</w:t>
      </w:r>
    </w:p>
    <w:p>
      <w:pPr>
        <w:pStyle w:val="FirstParagraph"/>
      </w:pPr>
      <w:r>
        <w:t xml:space="preserve">Hold back:</w:t>
      </w:r>
    </w:p>
    <w:p>
      <w:pPr>
        <w:pStyle w:val="Compact"/>
        <w:numPr>
          <w:ilvl w:val="0"/>
          <w:numId w:val="1004"/>
        </w:numPr>
      </w:pPr>
      <w:r>
        <w:t xml:space="preserve">Exact API schemas.</w:t>
      </w:r>
    </w:p>
    <w:p>
      <w:pPr>
        <w:pStyle w:val="Compact"/>
        <w:numPr>
          <w:ilvl w:val="0"/>
          <w:numId w:val="1004"/>
        </w:numPr>
      </w:pPr>
      <w:r>
        <w:t xml:space="preserve">Full evidence object model.</w:t>
      </w:r>
    </w:p>
    <w:p>
      <w:pPr>
        <w:pStyle w:val="Compact"/>
        <w:numPr>
          <w:ilvl w:val="0"/>
          <w:numId w:val="1004"/>
        </w:numPr>
      </w:pPr>
      <w:r>
        <w:t xml:space="preserve">Cryptographic binding method.</w:t>
      </w:r>
    </w:p>
    <w:p>
      <w:pPr>
        <w:pStyle w:val="Compact"/>
        <w:numPr>
          <w:ilvl w:val="0"/>
          <w:numId w:val="1004"/>
        </w:numPr>
      </w:pPr>
      <w:r>
        <w:t xml:space="preserve">Enforcement pipeline.</w:t>
      </w:r>
    </w:p>
    <w:p>
      <w:pPr>
        <w:pStyle w:val="Compact"/>
        <w:numPr>
          <w:ilvl w:val="0"/>
          <w:numId w:val="1004"/>
        </w:numPr>
      </w:pPr>
      <w:r>
        <w:t xml:space="preserve">Hardware-specific claim maps.</w:t>
      </w:r>
    </w:p>
    <w:p>
      <w:pPr>
        <w:pStyle w:val="Compact"/>
        <w:numPr>
          <w:ilvl w:val="0"/>
          <w:numId w:val="1004"/>
        </w:numPr>
      </w:pPr>
      <w:r>
        <w:t xml:space="preserve">Partner-specific architectures.</w:t>
      </w:r>
    </w:p>
    <w:p>
      <w:pPr>
        <w:pStyle w:val="Compact"/>
        <w:numPr>
          <w:ilvl w:val="0"/>
          <w:numId w:val="1004"/>
        </w:numPr>
      </w:pPr>
      <w:r>
        <w:t xml:space="preserve">Unpublished patent claim language.</w:t>
      </w:r>
    </w:p>
    <w:p>
      <w:pPr>
        <w:pStyle w:val="FirstParagraph"/>
      </w:pPr>
      <w:r>
        <w:t xml:space="preserve">If implementation details matter, file first and publish second.</w:t>
      </w:r>
    </w:p>
    <w:p>
      <w:r>
        <w:pict>
          <v:rect style="width:0;height:1.5pt" o:hralign="center" o:hrstd="t" o:hr="t"/>
        </w:pict>
      </w:r>
    </w:p>
    <w:bookmarkEnd w:id="24"/>
    <w:bookmarkStart w:id="25" w:name="license-decision"/>
    <w:p>
      <w:pPr>
        <w:pStyle w:val="Heading2"/>
      </w:pPr>
      <w:r>
        <w:t xml:space="preserve">5. License Decision</w:t>
      </w:r>
    </w:p>
    <w:p>
      <w:pPr>
        <w:pStyle w:val="FirstParagraph"/>
      </w:pPr>
      <w:r>
        <w:t xml:space="preserve">This final package uses</w:t>
      </w:r>
      <w:r>
        <w:t xml:space="preserve"> </w:t>
      </w:r>
      <w:r>
        <w:rPr>
          <w:b/>
          <w:bCs/>
        </w:rPr>
        <w:t xml:space="preserve">CC BY 4.0</w:t>
      </w:r>
      <w:r>
        <w:t xml:space="preserve"> </w:t>
      </w:r>
      <w:r>
        <w:t xml:space="preserve">for public architecture text, diagrams, and metadata.</w:t>
      </w:r>
    </w:p>
    <w:p>
      <w:pPr>
        <w:pStyle w:val="BodyText"/>
      </w:pPr>
      <w:r>
        <w:t xml:space="preserve">Rationale: CC BY 4.0 supports category adoption, citation, quotation, redistribution, and partner sharing while preserving attribution requirements.</w:t>
      </w:r>
    </w:p>
    <w:p>
      <w:pPr>
        <w:pStyle w:val="BodyText"/>
      </w:pPr>
      <w:r>
        <w:t xml:space="preserve">Counsel may choose to switch to CC BY-ND 4.0 or another license before public release if derivative-language control is more important than adoption.</w:t>
      </w:r>
    </w:p>
    <w:p>
      <w:pPr>
        <w:pStyle w:val="BodyText"/>
      </w:pPr>
      <w:r>
        <w:t xml:space="preserve">The NOTICE file clarifies that the content license does not grant patent rights, trademark rights, implementation rights, confidential mechanisms, or partner-specific rights.</w:t>
      </w:r>
    </w:p>
    <w:p>
      <w:r>
        <w:pict>
          <v:rect style="width:0;height:1.5pt" o:hralign="center" o:hrstd="t" o:hr="t"/>
        </w:pict>
      </w:r>
    </w:p>
    <w:bookmarkEnd w:id="25"/>
    <w:bookmarkStart w:id="26" w:name="zenodo-manual-record"/>
    <w:p>
      <w:pPr>
        <w:pStyle w:val="Heading2"/>
      </w:pPr>
      <w:r>
        <w:t xml:space="preserve">6. Zenodo Manual Record</w:t>
      </w:r>
    </w:p>
    <w:p>
      <w:pPr>
        <w:pStyle w:val="FirstParagraph"/>
      </w:pPr>
      <w:r>
        <w:t xml:space="preserve">Create a manual Zenodo upload for the canonical technical note/report.</w:t>
      </w:r>
    </w:p>
    <w:p>
      <w:pPr>
        <w:pStyle w:val="BodyText"/>
      </w:pPr>
      <w:r>
        <w:t xml:space="preserve">Recommended record title:</w:t>
      </w:r>
    </w:p>
    <w:p>
      <w:pPr>
        <w:pStyle w:val="BodyText"/>
      </w:pPr>
      <w:r>
        <w:rPr>
          <w:b/>
          <w:bCs/>
        </w:rPr>
        <w:t xml:space="preserve">The Acceptance Plane: The Missing Trust Layer for Agentic AI Infrastructure</w:t>
      </w:r>
    </w:p>
    <w:p>
      <w:pPr>
        <w:pStyle w:val="BodyText"/>
      </w:pPr>
      <w:r>
        <w:t xml:space="preserve">Recommended resource type:</w:t>
      </w:r>
    </w:p>
    <w:p>
      <w:pPr>
        <w:pStyle w:val="BodyText"/>
      </w:pPr>
      <w:r>
        <w:rPr>
          <w:b/>
          <w:bCs/>
        </w:rPr>
        <w:t xml:space="preserve">Publication / Technical note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Publication / Report</w:t>
      </w:r>
    </w:p>
    <w:p>
      <w:pPr>
        <w:pStyle w:val="BodyText"/>
      </w:pPr>
      <w:r>
        <w:t xml:space="preserve">Recommended upload files: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dist/MVG_The_Acceptance_Plane_v1.0.0.pdf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dist/MVG_The_Acceptance_Plane_v1.0.0.docx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figures/acceptance-plane-stack.png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figures/acceptance-plane-workflow.png</w:t>
      </w:r>
    </w:p>
    <w:p>
      <w:pPr>
        <w:pStyle w:val="FirstParagraph"/>
      </w:pPr>
      <w:r>
        <w:t xml:space="preserve">DOI discipline:</w:t>
      </w:r>
    </w:p>
    <w:p>
      <w:pPr>
        <w:pStyle w:val="Compact"/>
        <w:numPr>
          <w:ilvl w:val="0"/>
          <w:numId w:val="1006"/>
        </w:numPr>
      </w:pPr>
      <w:r>
        <w:t xml:space="preserve">For v1.0.0, the canonical DOI has been applied: https://doi.org/10.5281/zenodo.20645907.</w:t>
      </w:r>
    </w:p>
    <w:p>
      <w:pPr>
        <w:pStyle w:val="Compact"/>
        <w:numPr>
          <w:ilvl w:val="0"/>
          <w:numId w:val="1006"/>
        </w:numPr>
      </w:pPr>
      <w:r>
        <w:t xml:space="preserve">Do not replace this DOI with a GitHub-Zenodo release archive DOI. The GitHub archive DOI is source/provenance, not the canonical citation.</w:t>
      </w:r>
    </w:p>
    <w:p>
      <w:r>
        <w:pict>
          <v:rect style="width:0;height:1.5pt" o:hralign="center" o:hrstd="t" o:hr="t"/>
        </w:pict>
      </w:r>
    </w:p>
    <w:bookmarkEnd w:id="26"/>
    <w:bookmarkStart w:id="27" w:name="github-repository"/>
    <w:p>
      <w:pPr>
        <w:pStyle w:val="Heading2"/>
      </w:pPr>
      <w:r>
        <w:t xml:space="preserve">7. GitHub Repository</w:t>
      </w:r>
    </w:p>
    <w:p>
      <w:pPr>
        <w:pStyle w:val="FirstParagraph"/>
      </w:pPr>
      <w:r>
        <w:t xml:space="preserve">Recommended repository:</w:t>
      </w:r>
    </w:p>
    <w:p>
      <w:pPr>
        <w:pStyle w:val="SourceCode"/>
      </w:pPr>
      <w:r>
        <w:rPr>
          <w:rStyle w:val="VerbatimChar"/>
        </w:rPr>
        <w:t xml:space="preserve">meridian-verity-group/acceptance-plane</w:t>
      </w:r>
    </w:p>
    <w:p>
      <w:pPr>
        <w:pStyle w:val="FirstParagraph"/>
      </w:pPr>
      <w:r>
        <w:t xml:space="preserve">Recommended description:</w:t>
      </w:r>
    </w:p>
    <w:p>
      <w:pPr>
        <w:pStyle w:val="SourceCode"/>
      </w:pPr>
      <w:r>
        <w:rPr>
          <w:rStyle w:val="VerbatimChar"/>
        </w:rPr>
        <w:t xml:space="preserve">Public architecture thesis and reference workflow for the Acceptance Plane in agentic AI infrastructure.</w:t>
      </w:r>
    </w:p>
    <w:p>
      <w:pPr>
        <w:pStyle w:val="FirstParagraph"/>
      </w:pPr>
      <w:r>
        <w:t xml:space="preserve">Recommended topics:</w:t>
      </w:r>
    </w:p>
    <w:p>
      <w:pPr>
        <w:pStyle w:val="SourceCode"/>
      </w:pPr>
      <w:r>
        <w:rPr>
          <w:rStyle w:val="VerbatimChar"/>
        </w:rPr>
        <w:t xml:space="preserve">agentic-ai</w:t>
      </w:r>
      <w:r>
        <w:br/>
      </w:r>
      <w:r>
        <w:rPr>
          <w:rStyle w:val="VerbatimChar"/>
        </w:rPr>
        <w:t xml:space="preserve">ai-infrastructure</w:t>
      </w:r>
      <w:r>
        <w:br/>
      </w:r>
      <w:r>
        <w:rPr>
          <w:rStyle w:val="VerbatimChar"/>
        </w:rPr>
        <w:t xml:space="preserve">ai-trust</w:t>
      </w:r>
      <w:r>
        <w:br/>
      </w:r>
      <w:r>
        <w:rPr>
          <w:rStyle w:val="VerbatimChar"/>
        </w:rPr>
        <w:t xml:space="preserve">autonomous-agents</w:t>
      </w:r>
      <w:r>
        <w:br/>
      </w:r>
      <w:r>
        <w:rPr>
          <w:rStyle w:val="VerbatimChar"/>
        </w:rPr>
        <w:t xml:space="preserve">acceptance-plane</w:t>
      </w:r>
      <w:r>
        <w:br/>
      </w:r>
      <w:r>
        <w:rPr>
          <w:rStyle w:val="VerbatimChar"/>
        </w:rPr>
        <w:t xml:space="preserve">zero-trust</w:t>
      </w:r>
      <w:r>
        <w:br/>
      </w:r>
      <w:r>
        <w:rPr>
          <w:rStyle w:val="VerbatimChar"/>
        </w:rPr>
        <w:t xml:space="preserve">confidential-computing</w:t>
      </w:r>
      <w:r>
        <w:br/>
      </w:r>
      <w:r>
        <w:rPr>
          <w:rStyle w:val="VerbatimChar"/>
        </w:rPr>
        <w:t xml:space="preserve">remote-attestation</w:t>
      </w:r>
      <w:r>
        <w:br/>
      </w:r>
      <w:r>
        <w:rPr>
          <w:rStyle w:val="VerbatimChar"/>
        </w:rPr>
        <w:t xml:space="preserve">policy-as-code</w:t>
      </w:r>
      <w:r>
        <w:br/>
      </w:r>
      <w:r>
        <w:rPr>
          <w:rStyle w:val="VerbatimChar"/>
        </w:rPr>
        <w:t xml:space="preserve">cybersecurity</w:t>
      </w:r>
      <w:r>
        <w:br/>
      </w:r>
      <w:r>
        <w:rPr>
          <w:rStyle w:val="VerbatimChar"/>
        </w:rPr>
        <w:t xml:space="preserve">devsecops</w:t>
      </w:r>
      <w:r>
        <w:br/>
      </w:r>
      <w:r>
        <w:rPr>
          <w:rStyle w:val="VerbatimChar"/>
        </w:rPr>
        <w:t xml:space="preserve">enterprise-ai</w:t>
      </w:r>
    </w:p>
    <w:p>
      <w:pPr>
        <w:pStyle w:val="FirstParagraph"/>
      </w:pPr>
      <w:r>
        <w:t xml:space="preserve">Recommended settings:</w:t>
      </w:r>
    </w:p>
    <w:p>
      <w:pPr>
        <w:pStyle w:val="Compact"/>
        <w:numPr>
          <w:ilvl w:val="0"/>
          <w:numId w:val="1007"/>
        </w:numPr>
      </w:pPr>
      <w:r>
        <w:t xml:space="preserve">README enabled.</w:t>
      </w:r>
    </w:p>
    <w:p>
      <w:pPr>
        <w:pStyle w:val="Compact"/>
        <w:numPr>
          <w:ilvl w:val="0"/>
          <w:numId w:val="1007"/>
        </w:numPr>
      </w:pPr>
      <w:r>
        <w:t xml:space="preserve">Issues off initially.</w:t>
      </w:r>
    </w:p>
    <w:p>
      <w:pPr>
        <w:pStyle w:val="Compact"/>
        <w:numPr>
          <w:ilvl w:val="0"/>
          <w:numId w:val="1007"/>
        </w:numPr>
      </w:pPr>
      <w:r>
        <w:t xml:space="preserve">Discussions off initially unless MVG wants public community input.</w:t>
      </w:r>
    </w:p>
    <w:p>
      <w:pPr>
        <w:pStyle w:val="Compact"/>
        <w:numPr>
          <w:ilvl w:val="0"/>
          <w:numId w:val="1007"/>
        </w:numPr>
      </w:pPr>
      <w:r>
        <w:t xml:space="preserve">Wiki off.</w:t>
      </w:r>
    </w:p>
    <w:p>
      <w:pPr>
        <w:pStyle w:val="Compact"/>
        <w:numPr>
          <w:ilvl w:val="0"/>
          <w:numId w:val="1007"/>
        </w:numPr>
      </w:pPr>
      <w:r>
        <w:t xml:space="preserve">Branch protection for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Signed commits where practical.</w:t>
      </w:r>
    </w:p>
    <w:p>
      <w:pPr>
        <w:pStyle w:val="Compact"/>
        <w:numPr>
          <w:ilvl w:val="0"/>
          <w:numId w:val="1007"/>
        </w:numPr>
      </w:pPr>
      <w:r>
        <w:t xml:space="preserve">Immutable releases where available/enabled.</w:t>
      </w:r>
    </w:p>
    <w:p>
      <w:pPr>
        <w:pStyle w:val="Compact"/>
        <w:numPr>
          <w:ilvl w:val="0"/>
          <w:numId w:val="1007"/>
        </w:numPr>
      </w:pPr>
      <w:r>
        <w:t xml:space="preserve">Zenodo GitHub integration enabled after the repo is public.</w:t>
      </w:r>
    </w:p>
    <w:p>
      <w:r>
        <w:pict>
          <v:rect style="width:0;height:1.5pt" o:hralign="center" o:hrstd="t" o:hr="t"/>
        </w:pict>
      </w:r>
    </w:p>
    <w:bookmarkEnd w:id="27"/>
    <w:bookmarkStart w:id="28" w:name="release-integrity"/>
    <w:p>
      <w:pPr>
        <w:pStyle w:val="Heading2"/>
      </w:pPr>
      <w:r>
        <w:t xml:space="preserve">8. Release Integrity</w:t>
      </w:r>
    </w:p>
    <w:p>
      <w:pPr>
        <w:pStyle w:val="FirstParagraph"/>
      </w:pPr>
      <w:r>
        <w:t xml:space="preserve">Before public release:</w:t>
      </w:r>
    </w:p>
    <w:p>
      <w:pPr>
        <w:pStyle w:val="Compact"/>
        <w:numPr>
          <w:ilvl w:val="0"/>
          <w:numId w:val="1008"/>
        </w:numPr>
      </w:pPr>
      <w:r>
        <w:t xml:space="preserve">Confirm no forbidden implementation details are present.</w:t>
      </w:r>
    </w:p>
    <w:p>
      <w:pPr>
        <w:pStyle w:val="Compact"/>
        <w:numPr>
          <w:ilvl w:val="0"/>
          <w:numId w:val="1008"/>
        </w:numPr>
      </w:pPr>
      <w:r>
        <w:t xml:space="preserve">Confirm the canonical DOI is present in public citation points: https://doi.org/10.5281/zenodo.20645907.</w:t>
      </w:r>
    </w:p>
    <w:p>
      <w:pPr>
        <w:pStyle w:val="Compact"/>
        <w:numPr>
          <w:ilvl w:val="0"/>
          <w:numId w:val="1008"/>
        </w:numPr>
      </w:pPr>
      <w:r>
        <w:t xml:space="preserve">Confirm license and metadata agree.</w:t>
      </w:r>
    </w:p>
    <w:p>
      <w:pPr>
        <w:pStyle w:val="Compact"/>
        <w:numPr>
          <w:ilvl w:val="0"/>
          <w:numId w:val="1008"/>
        </w:numPr>
      </w:pPr>
      <w:r>
        <w:t xml:space="preserve">Confirm PDF/DOCX metadata show Scott Lee and Meridian Verity Group.</w:t>
      </w:r>
    </w:p>
    <w:p>
      <w:pPr>
        <w:pStyle w:val="Compact"/>
        <w:numPr>
          <w:ilvl w:val="0"/>
          <w:numId w:val="1008"/>
        </w:numPr>
      </w:pPr>
      <w:r>
        <w:t xml:space="preserve">Confirm figures do not clip.</w:t>
      </w:r>
    </w:p>
    <w:p>
      <w:pPr>
        <w:pStyle w:val="Compact"/>
        <w:numPr>
          <w:ilvl w:val="0"/>
          <w:numId w:val="1008"/>
        </w:numPr>
      </w:pPr>
      <w:r>
        <w:t xml:space="preserve">Recompute</w:t>
      </w:r>
      <w:r>
        <w:t xml:space="preserve"> </w:t>
      </w:r>
      <w:r>
        <w:rPr>
          <w:rStyle w:val="VerbatimChar"/>
        </w:rPr>
        <w:t xml:space="preserve">provenance/MANIFEST.sha256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Commit with a signed commit where practical.</w:t>
      </w:r>
    </w:p>
    <w:p>
      <w:pPr>
        <w:pStyle w:val="Compact"/>
        <w:numPr>
          <w:ilvl w:val="0"/>
          <w:numId w:val="1008"/>
        </w:numPr>
      </w:pPr>
      <w:r>
        <w:t xml:space="preserve">Tag with a signed tag where practical.</w:t>
      </w:r>
    </w:p>
    <w:p>
      <w:pPr>
        <w:pStyle w:val="Compact"/>
        <w:numPr>
          <w:ilvl w:val="0"/>
          <w:numId w:val="1008"/>
        </w:numPr>
      </w:pPr>
      <w:r>
        <w:t xml:space="preserve">Publish an immutable GitHub release if available.</w:t>
      </w:r>
    </w:p>
    <w:p>
      <w:pPr>
        <w:pStyle w:val="FirstParagraph"/>
      </w:pPr>
      <w:r>
        <w:t xml:space="preserve">Suggested tag:</w:t>
      </w:r>
    </w:p>
    <w:p>
      <w:pPr>
        <w:pStyle w:val="SourceCode"/>
      </w:pPr>
      <w:r>
        <w:rPr>
          <w:rStyle w:val="VerbatimChar"/>
        </w:rPr>
        <w:t xml:space="preserve">v1.0.0</w:t>
      </w:r>
    </w:p>
    <w:p>
      <w:pPr>
        <w:pStyle w:val="FirstParagraph"/>
      </w:pPr>
      <w:r>
        <w:t xml:space="preserve">Suggested release title:</w:t>
      </w:r>
    </w:p>
    <w:p>
      <w:pPr>
        <w:pStyle w:val="SourceCode"/>
      </w:pPr>
      <w:r>
        <w:rPr>
          <w:rStyle w:val="VerbatimChar"/>
        </w:rPr>
        <w:t xml:space="preserve">v1.0.0 - The Acceptance Plane: Public Architecture Thesis</w:t>
      </w:r>
    </w:p>
    <w:p>
      <w:r>
        <w:pict>
          <v:rect style="width:0;height:1.5pt" o:hralign="center" o:hrstd="t" o:hr="t"/>
        </w:pict>
      </w:r>
    </w:p>
    <w:bookmarkEnd w:id="28"/>
    <w:bookmarkStart w:id="29" w:name="mvg-pinned-article-caption"/>
    <w:p>
      <w:pPr>
        <w:pStyle w:val="Heading2"/>
      </w:pPr>
      <w:r>
        <w:t xml:space="preserve">9. MVG Pinned Article Caption</w:t>
      </w:r>
    </w:p>
    <w:p>
      <w:pPr>
        <w:pStyle w:val="FirstParagraph"/>
      </w:pPr>
      <w:r>
        <w:t xml:space="preserve">Meridian Verity Group is publishing its public architecture thesis for the Acceptance Plane.</w:t>
      </w:r>
    </w:p>
    <w:p>
      <w:pPr>
        <w:pStyle w:val="BodyText"/>
      </w:pPr>
      <w:r>
        <w:t xml:space="preserve">Agentic AI is moving from output generation to real system action. That shift changes the trust question.</w:t>
      </w:r>
    </w:p>
    <w:p>
      <w:pPr>
        <w:pStyle w:val="BodyText"/>
      </w:pPr>
      <w:r>
        <w:t xml:space="preserve">It is no longer enough to ask whether an agent had access, whether a workload was authenticated, whether an environment was attested, or whether an event was logged after the fact.</w:t>
      </w:r>
    </w:p>
    <w:p>
      <w:pPr>
        <w:pStyle w:val="BodyText"/>
      </w:pPr>
      <w:r>
        <w:t xml:space="preserve">The deeper production question is:</w:t>
      </w:r>
    </w:p>
    <w:p>
      <w:pPr>
        <w:pStyle w:val="BodyText"/>
      </w:pPr>
      <w:r>
        <w:rPr>
          <w:b/>
          <w:bCs/>
        </w:rPr>
        <w:t xml:space="preserve">Should this exact autonomous action be accepted into a protected system right now?</w:t>
      </w:r>
    </w:p>
    <w:p>
      <w:pPr>
        <w:pStyle w:val="BodyText"/>
      </w:pPr>
      <w:r>
        <w:t xml:space="preserve">We define the Acceptance Plane as the architectural function that determines whether a specific autonomous AI action should be accepted before impact, based on current, scope-bound, verifier-ready evidence at the acceptance boundary.</w:t>
      </w:r>
    </w:p>
    <w:p>
      <w:pPr>
        <w:pStyle w:val="BodyText"/>
      </w:pPr>
      <w:r>
        <w:t xml:space="preserve">Access is not authority. Permission is not proof. Execution is not acceptance.</w:t>
      </w:r>
    </w:p>
    <w:p>
      <w:r>
        <w:pict>
          <v:rect style="width:0;height:1.5pt" o:hralign="center" o:hrstd="t" o:hr="t"/>
        </w:pict>
      </w:r>
    </w:p>
    <w:bookmarkEnd w:id="29"/>
    <w:bookmarkStart w:id="30" w:name="scott-repost-caption"/>
    <w:p>
      <w:pPr>
        <w:pStyle w:val="Heading2"/>
      </w:pPr>
      <w:r>
        <w:t xml:space="preserve">10. Scott Repost Caption</w:t>
      </w:r>
    </w:p>
    <w:p>
      <w:pPr>
        <w:pStyle w:val="FirstParagraph"/>
      </w:pPr>
      <w:r>
        <w:t xml:space="preserve">Today Meridian Verity Group is publishing its public architecture thesis for the Acceptance Plane.</w:t>
      </w:r>
    </w:p>
    <w:p>
      <w:pPr>
        <w:pStyle w:val="BodyText"/>
      </w:pPr>
      <w:r>
        <w:t xml:space="preserve">The core idea is simple:</w:t>
      </w:r>
    </w:p>
    <w:p>
      <w:pPr>
        <w:pStyle w:val="BodyText"/>
      </w:pPr>
      <w:r>
        <w:t xml:space="preserve">Access is not authority. Permission is not proof. Execution is not acceptance.</w:t>
      </w:r>
    </w:p>
    <w:p>
      <w:pPr>
        <w:pStyle w:val="BodyText"/>
      </w:pPr>
      <w:r>
        <w:t xml:space="preserve">As AI agents move from generating outputs to taking actions, production systems need a boundary that can decide whether a specific autonomous action should be accepted before impact.</w:t>
      </w:r>
    </w:p>
    <w:p>
      <w:pPr>
        <w:pStyle w:val="BodyText"/>
      </w:pPr>
      <w:r>
        <w:t xml:space="preserve">MVG calls that architectural function the Acceptance Plane.</w:t>
      </w:r>
    </w:p>
    <w:p>
      <w:r>
        <w:pict>
          <v:rect style="width:0;height:1.5pt" o:hralign="center" o:hrstd="t" o:hr="t"/>
        </w:pict>
      </w:r>
    </w:p>
    <w:bookmarkEnd w:id="30"/>
    <w:bookmarkStart w:id="31" w:name="partner-dm"/>
    <w:p>
      <w:pPr>
        <w:pStyle w:val="Heading2"/>
      </w:pPr>
      <w:r>
        <w:t xml:space="preserve">11. Partner DM</w:t>
      </w:r>
    </w:p>
    <w:p>
      <w:pPr>
        <w:pStyle w:val="FirstParagraph"/>
      </w:pPr>
      <w:r>
        <w:t xml:space="preserve">Sharing MVG’s public architecture thesis for the Acceptance Plane.</w:t>
      </w:r>
    </w:p>
    <w:p>
      <w:pPr>
        <w:pStyle w:val="BodyText"/>
      </w:pPr>
      <w:r>
        <w:t xml:space="preserve">The thesis is that agentic AI shifts the trust boundary from output correctness to action acceptance: should this exact autonomous action be accepted into a protected system right now?</w:t>
      </w:r>
    </w:p>
    <w:p>
      <w:pPr>
        <w:pStyle w:val="BodyText"/>
      </w:pPr>
      <w:r>
        <w:t xml:space="preserve">We published the thesis as a citable package with a GitHub release/provenance trail so partners can reference a stable version.</w:t>
      </w:r>
    </w:p>
    <w:p>
      <w:pPr>
        <w:pStyle w:val="BodyText"/>
      </w:pPr>
      <w:r>
        <w:t xml:space="preserve">Would value your perspective on where this acceptance boundary should live in production AI systems.</w:t>
      </w:r>
    </w:p>
    <w:p>
      <w:r>
        <w:pict>
          <v:rect style="width:0;height:1.5pt" o:hralign="center" o:hrstd="t" o:hr="t"/>
        </w:pict>
      </w:r>
    </w:p>
    <w:bookmarkEnd w:id="31"/>
    <w:bookmarkStart w:id="32" w:name="go-no-go-gate"/>
    <w:p>
      <w:pPr>
        <w:pStyle w:val="Heading2"/>
      </w:pPr>
      <w:r>
        <w:t xml:space="preserve">12. Go / No-Go Gate</w:t>
      </w:r>
    </w:p>
    <w:p>
      <w:pPr>
        <w:pStyle w:val="FirstParagraph"/>
      </w:pPr>
      <w:r>
        <w:t xml:space="preserve">Public release is a GO only when:</w:t>
      </w:r>
    </w:p>
    <w:p>
      <w:pPr>
        <w:pStyle w:val="Compact"/>
        <w:numPr>
          <w:ilvl w:val="0"/>
          <w:numId w:val="1009"/>
        </w:numPr>
      </w:pPr>
      <w:r>
        <w:t xml:space="preserve">Counsel/IP redline is complete.</w:t>
      </w:r>
    </w:p>
    <w:p>
      <w:pPr>
        <w:pStyle w:val="Compact"/>
        <w:numPr>
          <w:ilvl w:val="0"/>
          <w:numId w:val="1009"/>
        </w:numPr>
      </w:pPr>
      <w:r>
        <w:t xml:space="preserve">License is confirmed.</w:t>
      </w:r>
    </w:p>
    <w:p>
      <w:pPr>
        <w:pStyle w:val="Compact"/>
        <w:numPr>
          <w:ilvl w:val="0"/>
          <w:numId w:val="1009"/>
        </w:numPr>
      </w:pPr>
      <w:r>
        <w:t xml:space="preserve">Canonical DOI is embedded in public citation points: https://doi.org/10.5281/zenodo.20645907.</w:t>
      </w:r>
    </w:p>
    <w:p>
      <w:pPr>
        <w:pStyle w:val="Compact"/>
        <w:numPr>
          <w:ilvl w:val="0"/>
          <w:numId w:val="1009"/>
        </w:numPr>
      </w:pPr>
      <w:r>
        <w:t xml:space="preserve">Figures render without clipping.</w:t>
      </w:r>
    </w:p>
    <w:p>
      <w:pPr>
        <w:pStyle w:val="Compact"/>
        <w:numPr>
          <w:ilvl w:val="0"/>
          <w:numId w:val="1009"/>
        </w:numPr>
      </w:pPr>
      <w:r>
        <w:t xml:space="preserve">DOCX and PDF metadata are professional.</w:t>
      </w:r>
    </w:p>
    <w:p>
      <w:pPr>
        <w:pStyle w:val="Compact"/>
        <w:numPr>
          <w:ilvl w:val="0"/>
          <w:numId w:val="1009"/>
        </w:numPr>
      </w:pPr>
      <w:r>
        <w:t xml:space="preserve">Manifest verifies.</w:t>
      </w:r>
    </w:p>
    <w:p>
      <w:pPr>
        <w:pStyle w:val="Compact"/>
        <w:numPr>
          <w:ilvl w:val="0"/>
          <w:numId w:val="1009"/>
        </w:numPr>
      </w:pPr>
      <w:r>
        <w:t xml:space="preserve">GitHub repository settings are correct.</w:t>
      </w:r>
    </w:p>
    <w:p>
      <w:pPr>
        <w:pStyle w:val="Compact"/>
        <w:numPr>
          <w:ilvl w:val="0"/>
          <w:numId w:val="1009"/>
        </w:numPr>
      </w:pPr>
      <w:r>
        <w:t xml:space="preserve">Zenodo manual record metadata is ready.</w:t>
      </w:r>
    </w:p>
    <w:p>
      <w:pPr>
        <w:pStyle w:val="Compact"/>
        <w:numPr>
          <w:ilvl w:val="0"/>
          <w:numId w:val="1009"/>
        </w:numPr>
      </w:pPr>
      <w:r>
        <w:t xml:space="preserve">MVG knows which URL will be treated as canonical.</w:t>
      </w:r>
    </w:p>
    <w:p>
      <w:pPr>
        <w:pStyle w:val="FirstParagraph"/>
      </w:pPr>
      <w:r>
        <w:t xml:space="preserve">If any item fails, publish to a private repository or internal review folder only.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Meridian Verity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MVG Acceptance Plane Zenodo + GitHub Launch Runbook</dc:title>
  <dc:creator>Scott Lee</dc:creator>
  <cp:keywords>Acceptance Plane; Agentic AI; AI Infrastructure; Autonomous Action Acceptance; AI Trust; Zero Trust; Confidential Computing; Remote Attestation; Cybersecurity; Enterprise AI; DevSecOps; Zenodo DOI 10.5281/zenodo.20645907</cp:keywords>
  <dcterms:created xsi:type="dcterms:W3CDTF">2026-06-11T12:00:00Z</dcterms:created>
  <dcterms:modified xsi:type="dcterms:W3CDTF">2026-06-11T12:00:00Z</dcterms:modified>
  <cp:lastModifiedBy>Meridian Verity Group</cp:lastModifiedBy>
  <dc:subject>Launch runbook for the Acceptance Plane Zenodo and GitHub provenance stack.</dc:subject>
  <dc:description>Public architecture thesis. Not a formal standard, product specification, legal opinion, compliance certification, patent claim chart, or implementation disclosure.</dc:description>
  <cp:category>Public Architecture Thesis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