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CC0000"/>
          <w:sz w:val="32"/>
          <w:szCs w:val="32"/>
        </w:rPr>
        <w:t xml:space="preserve">ATTIJARIWAFA BANK TUNISIE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DOSSIER DE DEMANDE DE CRÉDIT À LA CONSOMMATION</w:t>
      </w:r>
    </w:p>
    <w:p>
      <w:pPr>
        <w:spacing w:after="240"/>
        <w:jc w:val="center"/>
      </w:pPr>
      <w:r>
        <w:rPr>
          <w:color w:val="666666"/>
          <w:sz w:val="18"/>
          <w:szCs w:val="18"/>
        </w:rPr>
        <w:t xml:space="preserve">Agence : Sousse Corniche  |  Réf. : SC-2025-0789  |  Date : 12/06/2025</w:t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1. INFORMATIONS PERSONNELLES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GHARBI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Prénom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Sonia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05566778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08/11/1988 (36 ans)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Adresse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Avenue Habib Bourguiba, Sousse 4000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Situation familiale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Mariée, 1 enfant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2. SITUATION PROFESSIONNELLE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Employeur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Clinique privée Les Oliviers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Secteur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Santé privée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 de contrat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CDI — secteur privé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Poste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Infirmière chef de service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Ancienneté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ans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Domiciliation salaire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Attijariwafa Bank — Oui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3. SITUATION FINANCIÈRE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Revenu mensuel net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2 600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Revenu conjoint (déclaré)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1 200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Revenu total ménage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3 800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Revenu pris en compte (demandeur seul)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2 600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Crédit immobilier en cours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750 DT/mois (restant 180 mois)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 dettes existantes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750 DT/mois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Épargne disponible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8 000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Incidents de paiement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incident mineur en 2022 — régularisé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Taux d'endettement actuel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28.8%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Taux d'endettement futur estimé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33.6%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4. OBJET DE LA DEMANDE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Type de crédit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Crédit Consommation — Équipement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Objet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Achat véhicule utilitaire + équipement médical cabinet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Montant demandé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15 000 DT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Durée souhaitée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 mois (5 ans)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Mensualité estimée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325 DT/mois au taux de 10.97%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Rapport montant/salaire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5.77× le salaire mensuel net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Nombre de crédits actifs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(immobilier en cours)</w:t>
            </w:r>
          </w:p>
        </w:tc>
      </w:tr>
    </w:tbl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5. GARANTIES PROPOSÉES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Domiciliation du salaire à Attijariwafa Bank (déjà effective)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Assurance décès-invalidité sur le crédit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Caution solidaire du conjoint (revenu 1 200 DT)</w:t>
      </w:r>
    </w:p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6. DOCUMENTS FOURNIS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Copie CIN recto-verso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3 dernières fiches de paie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Relevé de compte bancaire 6 mois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Attestation de travail et de salaire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Facture pro-forma véhicule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Devis équipement médical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Acte de mariage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Fiche de paie conjoint</w:t>
      </w:r>
    </w:p>
    <w:p>
      <w:r>
        <w:t xml:space="preserve"/>
      </w:r>
    </w:p>
    <w:p>
      <w:pPr>
        <w:pBdr>
          <w:bottom w:val="single" w:color="CC0000" w:sz="6" w:space="1"/>
        </w:pBdr>
        <w:spacing w:after="120" w:before="240"/>
      </w:pPr>
      <w:r>
        <w:rPr>
          <w:b/>
          <w:bCs/>
          <w:color w:val="CC0000"/>
          <w:sz w:val="24"/>
          <w:szCs w:val="24"/>
        </w:rPr>
        <w:t xml:space="preserve">7. OBSERVATIONS</w:t>
      </w:r>
    </w:p>
    <w:p>
      <w:r>
        <w:rPr>
          <w:i/>
          <w:iCs/>
          <w:sz w:val="18"/>
          <w:szCs w:val="18"/>
        </w:rPr>
        <w:t xml:space="preserve">Note agence : Le taux d'endettement futur de 33.6% dépasse légèrement le seuil BCT de 30% pour le crédit consommation. Cependant, le revenu du ménage (3 800 DT) offre une marge de sécurité réelle. La cliente présente un profil stable avec domiciliation et ancienneté de 4 ans. Un accord conditionnel est envisageable sous réserve de réduction du montant à 12 000 DT ou d'extension à 72 mois.</w:t>
      </w:r>
    </w:p>
    <w:p>
      <w:r>
        <w:t xml:space="preserve"/>
      </w:r>
    </w:p>
    <w:p>
      <w:pPr>
        <w:spacing w:before="240"/>
      </w:pPr>
      <w:r>
        <w:rPr>
          <w:i/>
          <w:iCs/>
          <w:sz w:val="18"/>
          <w:szCs w:val="18"/>
        </w:rPr>
        <w:t xml:space="preserve">Je soussignée, GHARBI Sonia, certifie l'exactitude des informations fournies.</w:t>
      </w:r>
    </w:p>
    <w:p>
      <w:r>
        <w:rPr>
          <w:i/>
          <w:iCs/>
          <w:sz w:val="18"/>
          <w:szCs w:val="18"/>
        </w:rPr>
        <w:t xml:space="preserve">Fait à Sousse, le 12/06/2025     Signature 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2026-06-18T11:57:04.447Z</dcterms:created>
  <dcterms:modified xsi:type="dcterms:W3CDTF">2026-06-18T11:57:04.447Z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