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F59E" w14:textId="4D9D5F43" w:rsidR="00A1225B" w:rsidRPr="00A1225B" w:rsidRDefault="00A1225B" w:rsidP="000E1F21">
      <w:pPr>
        <w:pStyle w:val="Title"/>
        <w:spacing w:before="240" w:after="240"/>
        <w:rPr>
          <w:rFonts w:ascii="Times New Roman" w:hAnsi="Times New Roman" w:cs="Times New Roman"/>
          <w:b/>
          <w:sz w:val="40"/>
          <w:szCs w:val="40"/>
        </w:rPr>
      </w:pPr>
      <w:bookmarkStart w:id="0" w:name="_Hlk512004820"/>
      <w:bookmarkEnd w:id="0"/>
      <w:r w:rsidRPr="00A1225B">
        <w:rPr>
          <w:rFonts w:ascii="Times New Roman" w:hAnsi="Times New Roman" w:cs="Times New Roman"/>
          <w:b/>
          <w:sz w:val="40"/>
          <w:szCs w:val="40"/>
        </w:rPr>
        <w:t xml:space="preserve">Pilot CO2 uptake rewetting measures </w:t>
      </w:r>
      <w:proofErr w:type="spellStart"/>
      <w:r w:rsidRPr="00A1225B">
        <w:rPr>
          <w:rFonts w:ascii="Times New Roman" w:hAnsi="Times New Roman" w:cs="Times New Roman"/>
          <w:b/>
          <w:sz w:val="40"/>
          <w:szCs w:val="40"/>
        </w:rPr>
        <w:t>Hunzedal</w:t>
      </w:r>
      <w:proofErr w:type="spellEnd"/>
    </w:p>
    <w:p w14:paraId="490D1066" w14:textId="2D1AA888" w:rsidR="00A1225B" w:rsidRPr="00A1225B" w:rsidRDefault="00A1225B" w:rsidP="00A1225B">
      <w:pPr>
        <w:rPr>
          <w:rFonts w:ascii="Times New Roman" w:hAnsi="Times New Roman" w:cs="Times New Roman"/>
          <w:sz w:val="24"/>
        </w:rPr>
      </w:pPr>
      <w:r w:rsidRPr="00A1225B">
        <w:rPr>
          <w:rFonts w:ascii="Times New Roman" w:hAnsi="Times New Roman" w:cs="Times New Roman"/>
          <w:sz w:val="24"/>
        </w:rPr>
        <w:t xml:space="preserve">Weier Liu, </w:t>
      </w:r>
      <w:proofErr w:type="spellStart"/>
      <w:r w:rsidRPr="00A1225B">
        <w:rPr>
          <w:rFonts w:ascii="Times New Roman" w:hAnsi="Times New Roman" w:cs="Times New Roman"/>
          <w:sz w:val="24"/>
        </w:rPr>
        <w:t>Merijn</w:t>
      </w:r>
      <w:proofErr w:type="spellEnd"/>
      <w:r w:rsidRPr="00A122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225B">
        <w:rPr>
          <w:rFonts w:ascii="Times New Roman" w:hAnsi="Times New Roman" w:cs="Times New Roman"/>
          <w:sz w:val="24"/>
        </w:rPr>
        <w:t>Slagter</w:t>
      </w:r>
      <w:proofErr w:type="spellEnd"/>
      <w:r w:rsidRPr="00A1225B">
        <w:rPr>
          <w:rFonts w:ascii="Times New Roman" w:hAnsi="Times New Roman" w:cs="Times New Roman"/>
          <w:sz w:val="24"/>
        </w:rPr>
        <w:t>, Christian Fritz</w:t>
      </w:r>
    </w:p>
    <w:p w14:paraId="146B6F40" w14:textId="2383BA4D" w:rsidR="00DF2FDE" w:rsidRPr="00AA7E44" w:rsidRDefault="00280002" w:rsidP="000E1F21">
      <w:pPr>
        <w:pStyle w:val="Heading1"/>
        <w:spacing w:after="240"/>
        <w:rPr>
          <w:rFonts w:ascii="Times New Roman" w:hAnsi="Times New Roman" w:cs="Times New Roman"/>
          <w:b/>
          <w:color w:val="auto"/>
        </w:rPr>
      </w:pPr>
      <w:r w:rsidRPr="00AA7E44">
        <w:rPr>
          <w:rFonts w:ascii="Times New Roman" w:hAnsi="Times New Roman" w:cs="Times New Roman"/>
          <w:b/>
          <w:color w:val="auto"/>
        </w:rPr>
        <w:t xml:space="preserve">1 </w:t>
      </w:r>
      <w:r w:rsidR="00DF2FDE" w:rsidRPr="00AA7E44">
        <w:rPr>
          <w:rFonts w:ascii="Times New Roman" w:hAnsi="Times New Roman" w:cs="Times New Roman"/>
          <w:b/>
          <w:color w:val="auto"/>
        </w:rPr>
        <w:t xml:space="preserve">Introduction </w:t>
      </w:r>
    </w:p>
    <w:p w14:paraId="52DB2C8A" w14:textId="4F6C641B" w:rsidR="00A1225B" w:rsidRPr="00A1225B" w:rsidRDefault="00A1225B" w:rsidP="00A1225B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Rewetting measures have been taken or are planned in different areas in 'Het </w:t>
      </w:r>
      <w:proofErr w:type="spellStart"/>
      <w:r w:rsidRPr="00A1225B">
        <w:rPr>
          <w:rFonts w:ascii="Times New Roman" w:hAnsi="Times New Roman" w:cs="Times New Roman"/>
        </w:rPr>
        <w:t>Hunzedal</w:t>
      </w:r>
      <w:proofErr w:type="spellEnd"/>
      <w:r w:rsidRPr="00A1225B">
        <w:rPr>
          <w:rFonts w:ascii="Times New Roman" w:hAnsi="Times New Roman" w:cs="Times New Roman"/>
        </w:rPr>
        <w:t xml:space="preserve">'. Rewetting former agriculture </w:t>
      </w:r>
      <w:r w:rsidR="00A7611B">
        <w:rPr>
          <w:rFonts w:ascii="Times New Roman" w:hAnsi="Times New Roman" w:cs="Times New Roman"/>
        </w:rPr>
        <w:t xml:space="preserve">lands </w:t>
      </w:r>
      <w:r w:rsidRPr="00A1225B">
        <w:rPr>
          <w:rFonts w:ascii="Times New Roman" w:hAnsi="Times New Roman" w:cs="Times New Roman"/>
        </w:rPr>
        <w:t xml:space="preserve">may reduce GHG emissions. </w:t>
      </w:r>
    </w:p>
    <w:p w14:paraId="3D48950E" w14:textId="77777777" w:rsidR="00A1225B" w:rsidRPr="00A1225B" w:rsidRDefault="00A1225B" w:rsidP="00A1225B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In this project, we quantify the emission reduction that:</w:t>
      </w:r>
    </w:p>
    <w:p w14:paraId="248B1BA5" w14:textId="6D179C3E" w:rsidR="00A1225B" w:rsidRPr="00E21C7A" w:rsidRDefault="00A1225B" w:rsidP="00E21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1C7A">
        <w:rPr>
          <w:rFonts w:ascii="Times New Roman" w:hAnsi="Times New Roman" w:cs="Times New Roman"/>
        </w:rPr>
        <w:t>already took place in rewetted areas in the past</w:t>
      </w:r>
    </w:p>
    <w:p w14:paraId="11E4C5B3" w14:textId="0821D763" w:rsidR="00A1225B" w:rsidRPr="00E21C7A" w:rsidRDefault="00A1225B" w:rsidP="00E21C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1C7A">
        <w:rPr>
          <w:rFonts w:ascii="Times New Roman" w:hAnsi="Times New Roman" w:cs="Times New Roman"/>
        </w:rPr>
        <w:t>is projected to take place in the future (till 2050)</w:t>
      </w:r>
    </w:p>
    <w:p w14:paraId="10810C1E" w14:textId="77777777" w:rsidR="00A1225B" w:rsidRPr="00A1225B" w:rsidRDefault="00A1225B" w:rsidP="00A1225B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The focus is on three areas:</w:t>
      </w:r>
    </w:p>
    <w:p w14:paraId="41BA9531" w14:textId="25FBC0A2" w:rsidR="00A1225B" w:rsidRPr="00E21C7A" w:rsidRDefault="00A1225B" w:rsidP="00E21C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21C7A">
        <w:rPr>
          <w:rFonts w:ascii="Times New Roman" w:hAnsi="Times New Roman" w:cs="Times New Roman"/>
        </w:rPr>
        <w:t>Tusschenwater</w:t>
      </w:r>
      <w:proofErr w:type="spellEnd"/>
      <w:r w:rsidRPr="00E21C7A">
        <w:rPr>
          <w:rFonts w:ascii="Times New Roman" w:hAnsi="Times New Roman" w:cs="Times New Roman"/>
        </w:rPr>
        <w:t xml:space="preserve"> (currently rewetted)</w:t>
      </w:r>
    </w:p>
    <w:p w14:paraId="2DFA5EC8" w14:textId="2C5213F0" w:rsidR="00A1225B" w:rsidRPr="00E21C7A" w:rsidRDefault="00A1225B" w:rsidP="00E21C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1C7A">
        <w:rPr>
          <w:rFonts w:ascii="Times New Roman" w:hAnsi="Times New Roman" w:cs="Times New Roman"/>
        </w:rPr>
        <w:t>LOFAR (rewetted in late 1990's)</w:t>
      </w:r>
    </w:p>
    <w:p w14:paraId="7897940F" w14:textId="14203D98" w:rsidR="00DF2FDE" w:rsidRPr="00E21C7A" w:rsidRDefault="00A1225B" w:rsidP="00E21C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21C7A">
        <w:rPr>
          <w:rFonts w:ascii="Times New Roman" w:hAnsi="Times New Roman" w:cs="Times New Roman"/>
        </w:rPr>
        <w:t>Zoersche</w:t>
      </w:r>
      <w:proofErr w:type="spellEnd"/>
      <w:r w:rsidRPr="00E21C7A">
        <w:rPr>
          <w:rFonts w:ascii="Times New Roman" w:hAnsi="Times New Roman" w:cs="Times New Roman"/>
        </w:rPr>
        <w:t xml:space="preserve"> Landen (rewetted in late 2000's)</w:t>
      </w:r>
    </w:p>
    <w:p w14:paraId="6A17EAEC" w14:textId="1BC7873E" w:rsidR="00DF2FDE" w:rsidRPr="00AA7E44" w:rsidRDefault="00280002" w:rsidP="000E1F21">
      <w:pPr>
        <w:pStyle w:val="Heading1"/>
        <w:spacing w:after="240"/>
        <w:rPr>
          <w:rFonts w:ascii="Times New Roman" w:hAnsi="Times New Roman" w:cs="Times New Roman"/>
          <w:b/>
          <w:color w:val="auto"/>
        </w:rPr>
      </w:pPr>
      <w:r w:rsidRPr="00AA7E44">
        <w:rPr>
          <w:rFonts w:ascii="Times New Roman" w:hAnsi="Times New Roman" w:cs="Times New Roman"/>
          <w:b/>
          <w:color w:val="auto"/>
        </w:rPr>
        <w:t xml:space="preserve">2 </w:t>
      </w:r>
      <w:r w:rsidR="00DF2FDE" w:rsidRPr="00AA7E44">
        <w:rPr>
          <w:rFonts w:ascii="Times New Roman" w:hAnsi="Times New Roman" w:cs="Times New Roman"/>
          <w:b/>
          <w:color w:val="auto"/>
        </w:rPr>
        <w:t>Methods</w:t>
      </w:r>
    </w:p>
    <w:p w14:paraId="37AE9E00" w14:textId="582B6C4C" w:rsidR="000A38EF" w:rsidRPr="00A1225B" w:rsidRDefault="008516D1" w:rsidP="00DF2FDE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The following t</w:t>
      </w:r>
      <w:r w:rsidR="000A38EF" w:rsidRPr="00A1225B">
        <w:rPr>
          <w:rFonts w:ascii="Times New Roman" w:hAnsi="Times New Roman" w:cs="Times New Roman"/>
        </w:rPr>
        <w:t xml:space="preserve">wo scenarios are </w:t>
      </w:r>
      <w:r w:rsidRPr="00A1225B">
        <w:rPr>
          <w:rFonts w:ascii="Times New Roman" w:hAnsi="Times New Roman" w:cs="Times New Roman"/>
        </w:rPr>
        <w:t>evaluated</w:t>
      </w:r>
      <w:r w:rsidR="000A38EF" w:rsidRPr="00A1225B">
        <w:rPr>
          <w:rFonts w:ascii="Times New Roman" w:hAnsi="Times New Roman" w:cs="Times New Roman"/>
        </w:rPr>
        <w:t xml:space="preserve"> for the </w:t>
      </w:r>
      <w:r w:rsidRPr="00A1225B">
        <w:rPr>
          <w:rFonts w:ascii="Times New Roman" w:hAnsi="Times New Roman" w:cs="Times New Roman"/>
        </w:rPr>
        <w:t>next 30 years for the potential GHG emissions:</w:t>
      </w:r>
    </w:p>
    <w:p w14:paraId="4F856FCB" w14:textId="1230E026" w:rsidR="000A38EF" w:rsidRPr="00A1225B" w:rsidRDefault="000A38EF" w:rsidP="000A3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Business as Usual</w:t>
      </w:r>
      <w:r w:rsidR="00940FB4" w:rsidRPr="00A1225B">
        <w:rPr>
          <w:rFonts w:ascii="Times New Roman" w:hAnsi="Times New Roman" w:cs="Times New Roman"/>
        </w:rPr>
        <w:t xml:space="preserve"> (BAU)</w:t>
      </w:r>
      <w:r w:rsidRPr="00A1225B">
        <w:rPr>
          <w:rFonts w:ascii="Times New Roman" w:hAnsi="Times New Roman" w:cs="Times New Roman"/>
        </w:rPr>
        <w:t>:</w:t>
      </w:r>
    </w:p>
    <w:p w14:paraId="022BF1F4" w14:textId="6D5F5820" w:rsidR="000A38EF" w:rsidRPr="00A1225B" w:rsidRDefault="000A38EF" w:rsidP="000A38EF">
      <w:pPr>
        <w:pStyle w:val="ListParagraph"/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Continuing agricultural land use</w:t>
      </w:r>
      <w:r w:rsidR="008516D1" w:rsidRPr="00A1225B">
        <w:rPr>
          <w:rFonts w:ascii="Times New Roman" w:hAnsi="Times New Roman" w:cs="Times New Roman"/>
        </w:rPr>
        <w:t xml:space="preserve"> indicated by current land use map</w:t>
      </w:r>
      <w:r w:rsidRPr="00A1225B">
        <w:rPr>
          <w:rFonts w:ascii="Times New Roman" w:hAnsi="Times New Roman" w:cs="Times New Roman"/>
        </w:rPr>
        <w:t>.</w:t>
      </w:r>
    </w:p>
    <w:p w14:paraId="332E225E" w14:textId="3D96A320" w:rsidR="000A38EF" w:rsidRPr="00A1225B" w:rsidRDefault="000A38EF" w:rsidP="000A3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Rewetting</w:t>
      </w:r>
      <w:r w:rsidR="008516D1" w:rsidRPr="00A1225B">
        <w:rPr>
          <w:rFonts w:ascii="Times New Roman" w:hAnsi="Times New Roman" w:cs="Times New Roman"/>
        </w:rPr>
        <w:t>:</w:t>
      </w:r>
    </w:p>
    <w:p w14:paraId="1A000B0B" w14:textId="3D0720CE" w:rsidR="000A38EF" w:rsidRPr="00A1225B" w:rsidRDefault="000A38EF" w:rsidP="000A38EF">
      <w:pPr>
        <w:pStyle w:val="ListParagraph"/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Higher ground water level and changed vegetation cover</w:t>
      </w:r>
      <w:r w:rsidR="008516D1" w:rsidRPr="00A1225B">
        <w:rPr>
          <w:rFonts w:ascii="Times New Roman" w:hAnsi="Times New Roman" w:cs="Times New Roman"/>
        </w:rPr>
        <w:t xml:space="preserve"> indicated by predicted vegetation map and water level data</w:t>
      </w:r>
      <w:r w:rsidRPr="00A1225B">
        <w:rPr>
          <w:rFonts w:ascii="Times New Roman" w:hAnsi="Times New Roman" w:cs="Times New Roman"/>
        </w:rPr>
        <w:t>.</w:t>
      </w:r>
    </w:p>
    <w:p w14:paraId="458CDD32" w14:textId="10638E74" w:rsidR="008516D1" w:rsidRPr="00A1225B" w:rsidRDefault="008516D1" w:rsidP="008516D1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For each of the scenarios, 3 approaches are implemented for GHG emissions calculation.</w:t>
      </w:r>
    </w:p>
    <w:p w14:paraId="2A0CB23D" w14:textId="445EF26A" w:rsidR="008516D1" w:rsidRPr="00A1225B" w:rsidRDefault="008516D1" w:rsidP="00851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Direct use of emission factors per land use/ vegetation types:</w:t>
      </w:r>
    </w:p>
    <w:p w14:paraId="0986A3F4" w14:textId="164AFA0B" w:rsidR="008516D1" w:rsidRPr="00A1225B" w:rsidRDefault="00940FB4" w:rsidP="008516D1">
      <w:pPr>
        <w:pStyle w:val="ListParagraph"/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The emission factors for BAU scenario is IPCC default values of CO2 emission for different land use types; emission factors for Rewetting scenario is the CO2 emission potential for different vegetation cover from literature.</w:t>
      </w:r>
    </w:p>
    <w:p w14:paraId="71EB870A" w14:textId="6614C3EB" w:rsidR="008516D1" w:rsidRPr="00A1225B" w:rsidRDefault="008516D1" w:rsidP="00851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Calculate emissions as </w:t>
      </w:r>
      <w:r w:rsidR="00940FB4" w:rsidRPr="00A1225B">
        <w:rPr>
          <w:rFonts w:ascii="Times New Roman" w:hAnsi="Times New Roman" w:cs="Times New Roman"/>
        </w:rPr>
        <w:t xml:space="preserve">a </w:t>
      </w:r>
      <w:r w:rsidRPr="00A1225B">
        <w:rPr>
          <w:rFonts w:ascii="Times New Roman" w:hAnsi="Times New Roman" w:cs="Times New Roman"/>
        </w:rPr>
        <w:t>function of ground water level and peat thickness (using available or predicted water level maps)</w:t>
      </w:r>
      <w:r w:rsidR="00940FB4" w:rsidRPr="00A1225B">
        <w:rPr>
          <w:rFonts w:ascii="Times New Roman" w:hAnsi="Times New Roman" w:cs="Times New Roman"/>
        </w:rPr>
        <w:t>:</w:t>
      </w:r>
    </w:p>
    <w:p w14:paraId="774D836A" w14:textId="371F4A65" w:rsidR="00940FB4" w:rsidRPr="00A1225B" w:rsidRDefault="00940FB4" w:rsidP="00940FB4">
      <w:pPr>
        <w:pStyle w:val="ListParagraph"/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We use </w:t>
      </w:r>
      <w:proofErr w:type="gramStart"/>
      <w:r w:rsidR="00C64CC3" w:rsidRPr="00A1225B">
        <w:rPr>
          <w:rFonts w:ascii="Times New Roman" w:hAnsi="Times New Roman" w:cs="Times New Roman"/>
        </w:rPr>
        <w:t>0.5 ton</w:t>
      </w:r>
      <w:proofErr w:type="gramEnd"/>
      <w:r w:rsidR="00C64CC3" w:rsidRPr="00A1225B">
        <w:rPr>
          <w:rFonts w:ascii="Times New Roman" w:hAnsi="Times New Roman" w:cs="Times New Roman"/>
        </w:rPr>
        <w:t xml:space="preserve"> CO2 ha-1 yr-1 as the parameter for each centimeter of dry peat layer to calculate CO2 emissions based on water level and peat thickness maps. Predicted water level map for the area is used.</w:t>
      </w:r>
    </w:p>
    <w:p w14:paraId="3B3D8A34" w14:textId="4675C5CE" w:rsidR="008516D1" w:rsidRPr="00A1225B" w:rsidRDefault="008516D1" w:rsidP="00851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Calculate emissions as </w:t>
      </w:r>
      <w:r w:rsidR="00940FB4" w:rsidRPr="00A1225B">
        <w:rPr>
          <w:rFonts w:ascii="Times New Roman" w:hAnsi="Times New Roman" w:cs="Times New Roman"/>
        </w:rPr>
        <w:t xml:space="preserve">a </w:t>
      </w:r>
      <w:r w:rsidRPr="00A1225B">
        <w:rPr>
          <w:rFonts w:ascii="Times New Roman" w:hAnsi="Times New Roman" w:cs="Times New Roman"/>
        </w:rPr>
        <w:t>function of ground water level and peat thickness (deriving water level maps from land use/ vegetation types)</w:t>
      </w:r>
      <w:r w:rsidR="00940FB4" w:rsidRPr="00A1225B">
        <w:rPr>
          <w:rFonts w:ascii="Times New Roman" w:hAnsi="Times New Roman" w:cs="Times New Roman"/>
        </w:rPr>
        <w:t>:</w:t>
      </w:r>
    </w:p>
    <w:p w14:paraId="2F3243C2" w14:textId="4C1137A6" w:rsidR="00C64CC3" w:rsidRDefault="007B023F" w:rsidP="00C64CC3">
      <w:pPr>
        <w:pStyle w:val="ListParagraph"/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We use the same function as approach 2) for the calculation. The water level data is converted from vegetation map based on vegetation-water level relations from literature.</w:t>
      </w:r>
    </w:p>
    <w:p w14:paraId="4B90AC4E" w14:textId="2A629726" w:rsidR="00AA7E44" w:rsidRPr="00AA7E44" w:rsidRDefault="00AA7E44" w:rsidP="00AA7E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4D55C9" wp14:editId="4D4E3529">
            <wp:extent cx="2684679" cy="3827242"/>
            <wp:effectExtent l="0" t="0" r="1905" b="190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hods_re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95" cy="38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15F3" w14:textId="01A1E635" w:rsidR="00DF2FDE" w:rsidRPr="00AA7E44" w:rsidRDefault="00280002" w:rsidP="000E1F21">
      <w:pPr>
        <w:pStyle w:val="Heading1"/>
        <w:spacing w:after="240"/>
        <w:rPr>
          <w:rFonts w:ascii="Times New Roman" w:hAnsi="Times New Roman" w:cs="Times New Roman"/>
          <w:b/>
          <w:color w:val="auto"/>
        </w:rPr>
      </w:pPr>
      <w:r w:rsidRPr="00AA7E44">
        <w:rPr>
          <w:rFonts w:ascii="Times New Roman" w:hAnsi="Times New Roman" w:cs="Times New Roman"/>
          <w:b/>
          <w:color w:val="auto"/>
        </w:rPr>
        <w:t xml:space="preserve">3 </w:t>
      </w:r>
      <w:r w:rsidR="00DF2FDE" w:rsidRPr="00AA7E44">
        <w:rPr>
          <w:rFonts w:ascii="Times New Roman" w:hAnsi="Times New Roman" w:cs="Times New Roman"/>
          <w:b/>
          <w:color w:val="auto"/>
        </w:rPr>
        <w:t>Intermediate Results</w:t>
      </w:r>
    </w:p>
    <w:p w14:paraId="300BCCD7" w14:textId="571BFE05" w:rsidR="00DF2FDE" w:rsidRPr="00A1225B" w:rsidRDefault="00A1225B" w:rsidP="00DF2FDE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We used data for </w:t>
      </w:r>
      <w:proofErr w:type="spellStart"/>
      <w:r w:rsidRPr="00A1225B">
        <w:rPr>
          <w:rFonts w:ascii="Times New Roman" w:hAnsi="Times New Roman" w:cs="Times New Roman"/>
        </w:rPr>
        <w:t>Tusschenwater</w:t>
      </w:r>
      <w:proofErr w:type="spellEnd"/>
      <w:r w:rsidRPr="00A1225B">
        <w:rPr>
          <w:rFonts w:ascii="Times New Roman" w:hAnsi="Times New Roman" w:cs="Times New Roman"/>
        </w:rPr>
        <w:t xml:space="preserve"> as an example in this report. </w:t>
      </w:r>
      <w:r w:rsidR="002C0C53" w:rsidRPr="00A1225B">
        <w:rPr>
          <w:rFonts w:ascii="Times New Roman" w:hAnsi="Times New Roman" w:cs="Times New Roman"/>
        </w:rPr>
        <w:t>We calculated CO2 emission for both scenarios using emission factors (approach 1), for BAU scenario, the total CO2 emission in 30 years is 105290.2 tons, and for Rewetting scenario, there is a major reduction to 13056.75 tons</w:t>
      </w:r>
      <w:r w:rsidR="003D36CC" w:rsidRPr="00A1225B">
        <w:rPr>
          <w:rFonts w:ascii="Times New Roman" w:hAnsi="Times New Roman" w:cs="Times New Roman"/>
        </w:rPr>
        <w:t xml:space="preserve"> (Appendix A)</w:t>
      </w:r>
      <w:r w:rsidR="002C0C53" w:rsidRPr="00A1225B">
        <w:rPr>
          <w:rFonts w:ascii="Times New Roman" w:hAnsi="Times New Roman" w:cs="Times New Roman"/>
        </w:rPr>
        <w:t>.</w:t>
      </w:r>
    </w:p>
    <w:p w14:paraId="76775342" w14:textId="5F8965DD" w:rsidR="002C0C53" w:rsidRPr="00A1225B" w:rsidRDefault="00A1225B" w:rsidP="00DF2FDE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Results</w:t>
      </w:r>
      <w:r w:rsidR="002C0C53" w:rsidRPr="00A1225B">
        <w:rPr>
          <w:rFonts w:ascii="Times New Roman" w:hAnsi="Times New Roman" w:cs="Times New Roman"/>
        </w:rPr>
        <w:t xml:space="preserve"> from the 3 different approaches for the Rewetting scenario</w:t>
      </w:r>
      <w:r w:rsidR="002C7D84" w:rsidRPr="00A1225B">
        <w:rPr>
          <w:rFonts w:ascii="Times New Roman" w:hAnsi="Times New Roman" w:cs="Times New Roman"/>
        </w:rPr>
        <w:t xml:space="preserve"> </w:t>
      </w:r>
      <w:r w:rsidR="003D36CC" w:rsidRPr="00A1225B">
        <w:rPr>
          <w:rFonts w:ascii="Times New Roman" w:hAnsi="Times New Roman" w:cs="Times New Roman"/>
        </w:rPr>
        <w:t xml:space="preserve">(Appendix B) </w:t>
      </w:r>
      <w:r w:rsidRPr="00A1225B">
        <w:rPr>
          <w:rFonts w:ascii="Times New Roman" w:hAnsi="Times New Roman" w:cs="Times New Roman"/>
        </w:rPr>
        <w:t xml:space="preserve">were also compared </w:t>
      </w:r>
      <w:r w:rsidR="002C7D84" w:rsidRPr="00A1225B">
        <w:rPr>
          <w:rFonts w:ascii="Times New Roman" w:hAnsi="Times New Roman" w:cs="Times New Roman"/>
        </w:rPr>
        <w:t>as in the table below:</w:t>
      </w:r>
      <w:r w:rsidR="007A4474" w:rsidRPr="00A1225B">
        <w:rPr>
          <w:rFonts w:ascii="Times New Roman" w:hAnsi="Times New Roman" w:cs="Times New Roman"/>
        </w:rPr>
        <w:t xml:space="preserve"> 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4715"/>
        <w:gridCol w:w="2300"/>
      </w:tblGrid>
      <w:tr w:rsidR="002C0C53" w:rsidRPr="002C0C53" w14:paraId="7B775BC0" w14:textId="77777777" w:rsidTr="007A4474">
        <w:trPr>
          <w:trHeight w:val="288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D1C7EEF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Approaches</w:t>
            </w:r>
          </w:p>
        </w:tc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7D10F376" w14:textId="0E58F912" w:rsidR="007A4474" w:rsidRPr="00A1225B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Mean CO2 emission rate</w:t>
            </w:r>
          </w:p>
          <w:p w14:paraId="193E4954" w14:textId="6EC0FF59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 xml:space="preserve">(ton / ha </w:t>
            </w:r>
            <w:proofErr w:type="spellStart"/>
            <w:r w:rsidRPr="002C0C53">
              <w:rPr>
                <w:rFonts w:ascii="Times New Roman" w:eastAsia="Times New Roman" w:hAnsi="Times New Roman" w:cs="Times New Roman"/>
                <w:color w:val="000000"/>
              </w:rPr>
              <w:t>yr</w:t>
            </w:r>
            <w:proofErr w:type="spellEnd"/>
            <w:r w:rsidRPr="002C0C5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58FDF54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 xml:space="preserve">Total CO2 emission (ton / </w:t>
            </w:r>
            <w:proofErr w:type="spellStart"/>
            <w:r w:rsidRPr="002C0C53">
              <w:rPr>
                <w:rFonts w:ascii="Times New Roman" w:eastAsia="Times New Roman" w:hAnsi="Times New Roman" w:cs="Times New Roman"/>
                <w:color w:val="000000"/>
              </w:rPr>
              <w:t>yr</w:t>
            </w:r>
            <w:proofErr w:type="spellEnd"/>
            <w:r w:rsidRPr="002C0C5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2C0C53" w:rsidRPr="002C0C53" w14:paraId="638081A5" w14:textId="77777777" w:rsidTr="007A4474">
        <w:trPr>
          <w:trHeight w:val="288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D07C478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1E0902D7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8.36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ABEC460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1260.31</w:t>
            </w:r>
          </w:p>
        </w:tc>
      </w:tr>
      <w:tr w:rsidR="002C0C53" w:rsidRPr="002C0C53" w14:paraId="7DE8167D" w14:textId="77777777" w:rsidTr="007A4474">
        <w:trPr>
          <w:trHeight w:val="288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3FA90EC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4E96A2D9" w14:textId="6C127F92" w:rsidR="002C0C53" w:rsidRPr="002C0C53" w:rsidRDefault="007A4474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3F23501" w14:textId="258AFC96" w:rsidR="002C0C53" w:rsidRPr="002C0C53" w:rsidRDefault="007A4474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1009.01</w:t>
            </w:r>
          </w:p>
        </w:tc>
      </w:tr>
      <w:tr w:rsidR="002C0C53" w:rsidRPr="002C0C53" w14:paraId="3B8DEDD3" w14:textId="77777777" w:rsidTr="007A4474">
        <w:trPr>
          <w:trHeight w:val="288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BB3C347" w14:textId="77777777" w:rsidR="002C0C53" w:rsidRPr="002C0C53" w:rsidRDefault="002C0C53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715" w:type="dxa"/>
            <w:shd w:val="clear" w:color="auto" w:fill="auto"/>
            <w:noWrap/>
            <w:vAlign w:val="bottom"/>
            <w:hideMark/>
          </w:tcPr>
          <w:p w14:paraId="4A575D06" w14:textId="3B55F7DC" w:rsidR="002C0C53" w:rsidRPr="002C0C53" w:rsidRDefault="007A4474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19.65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988E0B" w14:textId="23699BCE" w:rsidR="002C0C53" w:rsidRPr="002C0C53" w:rsidRDefault="007A4474" w:rsidP="007A4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0C53">
              <w:rPr>
                <w:rFonts w:ascii="Times New Roman" w:eastAsia="Times New Roman" w:hAnsi="Times New Roman" w:cs="Times New Roman"/>
                <w:color w:val="000000"/>
              </w:rPr>
              <w:t>2961.72</w:t>
            </w:r>
          </w:p>
        </w:tc>
      </w:tr>
    </w:tbl>
    <w:p w14:paraId="007AB7E7" w14:textId="0C493C20" w:rsidR="002C0C53" w:rsidRPr="00A1225B" w:rsidRDefault="006072CF" w:rsidP="00DF2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only intermediate results, based on further refinement of method</w:t>
      </w:r>
      <w:r w:rsidR="00A7611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data available we can have altered results.</w:t>
      </w:r>
      <w:r w:rsidR="00C76B18">
        <w:rPr>
          <w:rFonts w:ascii="Times New Roman" w:hAnsi="Times New Roman" w:cs="Times New Roman"/>
        </w:rPr>
        <w:t xml:space="preserve"> The tables and figures showed gives an impression of the changes.</w:t>
      </w:r>
      <w:bookmarkStart w:id="1" w:name="_GoBack"/>
      <w:bookmarkEnd w:id="1"/>
    </w:p>
    <w:p w14:paraId="31779622" w14:textId="7F957302" w:rsidR="00DF2FDE" w:rsidRPr="00AA7E44" w:rsidRDefault="00A1225B" w:rsidP="000E1F21">
      <w:pPr>
        <w:pStyle w:val="Heading1"/>
        <w:spacing w:after="240"/>
        <w:rPr>
          <w:rFonts w:ascii="Times New Roman" w:hAnsi="Times New Roman" w:cs="Times New Roman"/>
          <w:b/>
          <w:color w:val="auto"/>
        </w:rPr>
      </w:pPr>
      <w:r w:rsidRPr="00AA7E44">
        <w:rPr>
          <w:rFonts w:ascii="Times New Roman" w:hAnsi="Times New Roman" w:cs="Times New Roman"/>
          <w:b/>
          <w:color w:val="auto"/>
        </w:rPr>
        <w:t>4</w:t>
      </w:r>
      <w:r w:rsidR="00280002" w:rsidRPr="00AA7E44">
        <w:rPr>
          <w:rFonts w:ascii="Times New Roman" w:hAnsi="Times New Roman" w:cs="Times New Roman"/>
          <w:b/>
          <w:color w:val="auto"/>
        </w:rPr>
        <w:t xml:space="preserve"> </w:t>
      </w:r>
      <w:r w:rsidR="00DF2FDE" w:rsidRPr="00AA7E44">
        <w:rPr>
          <w:rFonts w:ascii="Times New Roman" w:hAnsi="Times New Roman" w:cs="Times New Roman"/>
          <w:b/>
          <w:color w:val="auto"/>
        </w:rPr>
        <w:t>Next steps</w:t>
      </w:r>
    </w:p>
    <w:p w14:paraId="741C7874" w14:textId="18EAF84B" w:rsidR="00A1225B" w:rsidRPr="00A1225B" w:rsidRDefault="00A1225B" w:rsidP="00A12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Implementation of subsidence rates of peat in the scenario analysis of </w:t>
      </w:r>
      <w:proofErr w:type="spellStart"/>
      <w:r w:rsidRPr="00A1225B">
        <w:rPr>
          <w:rFonts w:ascii="Times New Roman" w:hAnsi="Times New Roman" w:cs="Times New Roman"/>
        </w:rPr>
        <w:t>Tusschenwater</w:t>
      </w:r>
      <w:proofErr w:type="spellEnd"/>
      <w:r w:rsidRPr="00A1225B">
        <w:rPr>
          <w:rFonts w:ascii="Times New Roman" w:hAnsi="Times New Roman" w:cs="Times New Roman"/>
        </w:rPr>
        <w:t>.</w:t>
      </w:r>
    </w:p>
    <w:p w14:paraId="0345FA46" w14:textId="09442619" w:rsidR="00A1225B" w:rsidRPr="00A1225B" w:rsidRDefault="00A1225B" w:rsidP="00A12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 xml:space="preserve">Building GHG reduction models for </w:t>
      </w:r>
      <w:proofErr w:type="spellStart"/>
      <w:r w:rsidRPr="00A1225B">
        <w:rPr>
          <w:rFonts w:ascii="Times New Roman" w:hAnsi="Times New Roman" w:cs="Times New Roman"/>
        </w:rPr>
        <w:t>Zoersche</w:t>
      </w:r>
      <w:proofErr w:type="spellEnd"/>
      <w:r w:rsidRPr="00A1225B">
        <w:rPr>
          <w:rFonts w:ascii="Times New Roman" w:hAnsi="Times New Roman" w:cs="Times New Roman"/>
        </w:rPr>
        <w:t xml:space="preserve"> Landen and LOFAR</w:t>
      </w:r>
      <w:r w:rsidRPr="00A1225B">
        <w:rPr>
          <w:rFonts w:ascii="Times New Roman" w:hAnsi="Times New Roman" w:cs="Times New Roman"/>
        </w:rPr>
        <w:t>.</w:t>
      </w:r>
    </w:p>
    <w:p w14:paraId="230069D3" w14:textId="16764030" w:rsidR="00A1225B" w:rsidRPr="00A1225B" w:rsidRDefault="00A1225B" w:rsidP="00A12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Update for GWP</w:t>
      </w:r>
      <w:r w:rsidRPr="00A1225B">
        <w:rPr>
          <w:rFonts w:ascii="Times New Roman" w:hAnsi="Times New Roman" w:cs="Times New Roman"/>
        </w:rPr>
        <w:t>.</w:t>
      </w:r>
    </w:p>
    <w:p w14:paraId="53C75FC8" w14:textId="61E879E6" w:rsidR="00DF2FDE" w:rsidRPr="00A1225B" w:rsidRDefault="00A1225B" w:rsidP="00A1225B">
      <w:pPr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</w:rPr>
        <w:t>Before we can continue our project, we need some more data (see attachment for our data question)</w:t>
      </w:r>
    </w:p>
    <w:p w14:paraId="4C56B128" w14:textId="019F01B5" w:rsidR="00AA7E44" w:rsidRPr="00AA7E44" w:rsidRDefault="000E1F21" w:rsidP="00AA7E44">
      <w:pPr>
        <w:pStyle w:val="Heading1"/>
        <w:spacing w:after="240"/>
        <w:rPr>
          <w:rFonts w:ascii="Times New Roman" w:hAnsi="Times New Roman" w:cs="Times New Roman"/>
          <w:b/>
          <w:color w:val="auto"/>
        </w:rPr>
      </w:pPr>
      <w:r w:rsidRPr="00AA7E44">
        <w:rPr>
          <w:rFonts w:ascii="Times New Roman" w:hAnsi="Times New Roman" w:cs="Times New Roman"/>
          <w:b/>
          <w:color w:val="auto"/>
        </w:rPr>
        <w:lastRenderedPageBreak/>
        <w:t xml:space="preserve">Appendix </w:t>
      </w:r>
      <w:r w:rsidR="004E5124" w:rsidRPr="00AA7E44">
        <w:rPr>
          <w:rFonts w:ascii="Times New Roman" w:hAnsi="Times New Roman" w:cs="Times New Roman"/>
          <w:b/>
          <w:color w:val="auto"/>
        </w:rPr>
        <w:t>A</w:t>
      </w:r>
    </w:p>
    <w:p w14:paraId="34D72359" w14:textId="385868A3" w:rsidR="00AA7E44" w:rsidRDefault="00AA7E44" w:rsidP="00AA7E44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0C4126" wp14:editId="3A826B3A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642610" cy="3990975"/>
            <wp:effectExtent l="0" t="0" r="0" b="9525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399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F2C2A12" wp14:editId="646C534B">
            <wp:simplePos x="0" y="0"/>
            <wp:positionH relativeFrom="column">
              <wp:posOffset>0</wp:posOffset>
            </wp:positionH>
            <wp:positionV relativeFrom="paragraph">
              <wp:posOffset>4474845</wp:posOffset>
            </wp:positionV>
            <wp:extent cx="5674995" cy="4013835"/>
            <wp:effectExtent l="0" t="0" r="1905" b="571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4013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7AA04" w14:textId="167D0C3E" w:rsidR="004E5124" w:rsidRDefault="004E5124" w:rsidP="004E5124"/>
    <w:p w14:paraId="564B6B9B" w14:textId="105B368C" w:rsidR="004E5124" w:rsidRPr="00AA7E44" w:rsidRDefault="004E5124" w:rsidP="004E5124">
      <w:pPr>
        <w:pStyle w:val="Heading1"/>
        <w:spacing w:after="240"/>
        <w:rPr>
          <w:rFonts w:ascii="Times New Roman" w:hAnsi="Times New Roman" w:cs="Times New Roman"/>
          <w:b/>
          <w:color w:val="auto"/>
        </w:rPr>
      </w:pPr>
      <w:r w:rsidRPr="00AA7E44">
        <w:rPr>
          <w:rFonts w:ascii="Times New Roman" w:hAnsi="Times New Roman" w:cs="Times New Roman"/>
          <w:b/>
          <w:color w:val="auto"/>
        </w:rPr>
        <w:lastRenderedPageBreak/>
        <w:t xml:space="preserve">Appendix </w:t>
      </w:r>
      <w:r w:rsidRPr="00AA7E44">
        <w:rPr>
          <w:rFonts w:ascii="Times New Roman" w:hAnsi="Times New Roman" w:cs="Times New Roman"/>
          <w:b/>
          <w:color w:val="auto"/>
        </w:rPr>
        <w:t>B</w:t>
      </w:r>
    </w:p>
    <w:p w14:paraId="498F36B1" w14:textId="7FE3796C" w:rsidR="00280002" w:rsidRPr="00A1225B" w:rsidRDefault="00280002" w:rsidP="00280002">
      <w:pPr>
        <w:jc w:val="center"/>
        <w:rPr>
          <w:rFonts w:ascii="Times New Roman" w:hAnsi="Times New Roman" w:cs="Times New Roman"/>
        </w:rPr>
      </w:pPr>
      <w:r w:rsidRPr="00A1225B">
        <w:rPr>
          <w:rFonts w:ascii="Times New Roman" w:hAnsi="Times New Roman" w:cs="Times New Roman"/>
          <w:noProof/>
        </w:rPr>
        <w:drawing>
          <wp:inline distT="0" distB="0" distL="0" distR="0" wp14:anchorId="4B70452C" wp14:editId="6D8E0B9B">
            <wp:extent cx="3619484" cy="2560320"/>
            <wp:effectExtent l="0" t="0" r="635" b="0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g_c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8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25B">
        <w:rPr>
          <w:rFonts w:ascii="Times New Roman" w:hAnsi="Times New Roman" w:cs="Times New Roman"/>
          <w:noProof/>
        </w:rPr>
        <w:drawing>
          <wp:inline distT="0" distB="0" distL="0" distR="0" wp14:anchorId="2D4EAD6C" wp14:editId="2443C618">
            <wp:extent cx="3619483" cy="2560320"/>
            <wp:effectExtent l="0" t="0" r="635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8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8A" w:rsidRPr="00A1225B">
        <w:rPr>
          <w:rFonts w:ascii="Times New Roman" w:hAnsi="Times New Roman" w:cs="Times New Roman"/>
          <w:noProof/>
        </w:rPr>
        <w:drawing>
          <wp:inline distT="0" distB="0" distL="0" distR="0" wp14:anchorId="54B61CB8" wp14:editId="6978A737">
            <wp:extent cx="3619484" cy="2560320"/>
            <wp:effectExtent l="0" t="0" r="635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g_w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8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002" w:rsidRPr="00A1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7D04"/>
    <w:multiLevelType w:val="hybridMultilevel"/>
    <w:tmpl w:val="A754BD4A"/>
    <w:lvl w:ilvl="0" w:tplc="36F6E6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6377"/>
    <w:multiLevelType w:val="hybridMultilevel"/>
    <w:tmpl w:val="3AA0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5A8C"/>
    <w:multiLevelType w:val="hybridMultilevel"/>
    <w:tmpl w:val="01428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13AAD"/>
    <w:multiLevelType w:val="hybridMultilevel"/>
    <w:tmpl w:val="E5C09FD0"/>
    <w:lvl w:ilvl="0" w:tplc="36F6E6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F5031"/>
    <w:multiLevelType w:val="hybridMultilevel"/>
    <w:tmpl w:val="3822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6926"/>
    <w:multiLevelType w:val="hybridMultilevel"/>
    <w:tmpl w:val="96140CEA"/>
    <w:lvl w:ilvl="0" w:tplc="36F6E6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C5C45"/>
    <w:multiLevelType w:val="hybridMultilevel"/>
    <w:tmpl w:val="3182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00"/>
    <w:rsid w:val="000A38EF"/>
    <w:rsid w:val="000E1F21"/>
    <w:rsid w:val="00280002"/>
    <w:rsid w:val="002C0C53"/>
    <w:rsid w:val="002C7D84"/>
    <w:rsid w:val="003D36CC"/>
    <w:rsid w:val="00424EC6"/>
    <w:rsid w:val="00425400"/>
    <w:rsid w:val="004756D5"/>
    <w:rsid w:val="004E5124"/>
    <w:rsid w:val="005B660E"/>
    <w:rsid w:val="006072CF"/>
    <w:rsid w:val="007A4474"/>
    <w:rsid w:val="007B023F"/>
    <w:rsid w:val="00820B36"/>
    <w:rsid w:val="008516D1"/>
    <w:rsid w:val="00940FB4"/>
    <w:rsid w:val="00A03B0B"/>
    <w:rsid w:val="00A1225B"/>
    <w:rsid w:val="00A7611B"/>
    <w:rsid w:val="00AA7E44"/>
    <w:rsid w:val="00B55781"/>
    <w:rsid w:val="00C64CC3"/>
    <w:rsid w:val="00C76B18"/>
    <w:rsid w:val="00CB3F09"/>
    <w:rsid w:val="00DD374D"/>
    <w:rsid w:val="00DF2FDE"/>
    <w:rsid w:val="00E122FE"/>
    <w:rsid w:val="00E21C7A"/>
    <w:rsid w:val="00E66601"/>
    <w:rsid w:val="00FB558A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936FA0"/>
  <w15:chartTrackingRefBased/>
  <w15:docId w15:val="{198A3345-79D4-4DDD-8475-37FA1EDE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2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2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weier liu</dc:creator>
  <cp:keywords/>
  <dc:description/>
  <cp:lastModifiedBy>weier liu</cp:lastModifiedBy>
  <cp:revision>19</cp:revision>
  <dcterms:created xsi:type="dcterms:W3CDTF">2018-04-20T10:47:00Z</dcterms:created>
  <dcterms:modified xsi:type="dcterms:W3CDTF">2018-04-20T14:33:00Z</dcterms:modified>
</cp:coreProperties>
</file>