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B5E8C"/>
          <w:sz w:val="48"/>
          <w:szCs w:val="48"/>
        </w:rPr>
        <w:t xml:space="preserve">FILATEX GROUP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555555"/>
          <w:sz w:val="40"/>
          <w:szCs w:val="40"/>
        </w:rPr>
        <w:t xml:space="preserve">PMO Dashboard</w:t>
      </w:r>
    </w:p>
    <w:p>
      <w:pPr>
        <w:spacing w:before="600"/>
        <w:jc w:val="center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Migration React + Tailwind CSS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666666"/>
          <w:sz w:val="28"/>
          <w:szCs w:val="28"/>
        </w:rPr>
        <w:t xml:space="preserve">Document de Build v2</w:t>
      </w:r>
    </w:p>
    <w:p>
      <w:pPr>
        <w:spacing w:before="600"/>
        <w:jc w:val="center"/>
      </w:pPr>
      <w:r>
        <w:rPr>
          <w:rFonts w:ascii="Calibri" w:cs="Calibri" w:eastAsia="Calibri" w:hAnsi="Calibri"/>
          <w:color w:val="888888"/>
          <w:sz w:val="24"/>
          <w:szCs w:val="24"/>
        </w:rPr>
        <w:t xml:space="preserve">25 mars 2026</w:t>
      </w:r>
    </w:p>
    <w:p>
      <w:pPr>
        <w:spacing w:before="20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999999"/>
          <w:sz w:val="20"/>
          <w:szCs w:val="20"/>
        </w:rPr>
        <w:t xml:space="preserve">Confidentiel — Usage interne uniquement</w:t>
      </w:r>
    </w:p>
    <w:p>
      <w:pPr>
        <w:pageBreakBefore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5E8C"/>
          <w:sz w:val="32"/>
          <w:szCs w:val="32"/>
        </w:rPr>
        <w:t xml:space="preserve">1. Objectif de la migration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La migration du dashboard PMO Filatex depuis une SPA vanilla (HTML/CSS/JS) vers une architecture React + Tailwind CSS répond à trois objectifs stratégiques :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1.1 Maintenabilité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Code modulaire avec composants React réutilisables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Séparation stricte des responsabilités (composants, hooks, services)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TypeScript prévu en phase 2 pour le typage statique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Tests unitaires et d'intégration avec Vitest + Testing Library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1.2 Mobile-first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Tailwind CSS avec classes utilitaires responsive (sm:, md:, lg:)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PWA installable sur iOS et Android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Navigation bottom-bar adaptée au tactile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Performances optimisées (lazy loading, code splitting)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1.3 Extensibilité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Ajout de nouvelles sections (Finance, Audit, RH) sans impact sur l'existant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Architecture plugin-ready avec lazy loading par route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Système de données centralisé (contextes React + futurs appels API)</w:t>
      </w:r>
    </w:p>
    <w:p>
      <w:pPr>
        <w:pageBreakBefore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5E8C"/>
          <w:sz w:val="32"/>
          <w:szCs w:val="32"/>
        </w:rPr>
        <w:t xml:space="preserve">2. Stack technique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1B5E8C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Technologie</w:t>
            </w:r>
          </w:p>
        </w:tc>
        <w:tc>
          <w:tcPr>
            <w:shd w:color="1B5E8C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shd w:color="1B5E8C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18.x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Bibliothèque UI — composants, hooks, état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Vite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5.x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Bundler / dev server (HMR rapide)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Tailwind CSS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3.x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Framework CSS utilitaire responsive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 Router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6.x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Routage SPA (routes imbriquées)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Flask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3.x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Backend API (Python) — commentaires, données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Tauri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2.x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Application desktop native (Rust)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vite-plugin-pwa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0.x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Progressive Web App (service worker, manifest)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Vitest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1.x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Tests unitaires et d'intégration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GitHub Actions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CI/CD — build + déploiement GitHub Pages</w:t>
            </w:r>
          </w:p>
        </w:tc>
      </w:tr>
    </w:tbl>
    <w:p>
      <w:pPr>
        <w:pageBreakBefore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5E8C"/>
          <w:sz w:val="32"/>
          <w:szCs w:val="32"/>
        </w:rPr>
        <w:t xml:space="preserve">3. Architecture du projet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3.1 Arborescence frontend/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frontend/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src/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components/          — Composants réutilisables (KPI, Card, Table)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pages/               — Pages principales par section</w:t>
      </w:r>
    </w:p>
    <w:p>
      <w:pPr>
        <w:pStyle w:val="ListParagraph"/>
        <w:numPr>
          <w:ilvl w:val="2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pages/Energy/         — HFO + ENR</w:t>
      </w:r>
    </w:p>
    <w:p>
      <w:pPr>
        <w:pStyle w:val="ListParagraph"/>
        <w:numPr>
          <w:ilvl w:val="2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pages/Properties/     — Dev, Travaux, SAV, Commercial, Foncier, Location</w:t>
      </w:r>
    </w:p>
    <w:p>
      <w:pPr>
        <w:pStyle w:val="ListParagraph"/>
        <w:numPr>
          <w:ilvl w:val="2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pages/Capex/          — CAPEX par catégorie</w:t>
      </w:r>
    </w:p>
    <w:p>
      <w:pPr>
        <w:pStyle w:val="ListParagraph"/>
        <w:numPr>
          <w:ilvl w:val="2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pages/Investments/    — Investissements internes/externes</w:t>
      </w:r>
    </w:p>
    <w:p>
      <w:pPr>
        <w:pStyle w:val="ListParagraph"/>
        <w:numPr>
          <w:ilvl w:val="2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pages/Reporting/      — Reporting multi-pôle</w:t>
      </w:r>
    </w:p>
    <w:p>
      <w:pPr>
        <w:pStyle w:val="ListParagraph"/>
        <w:numPr>
          <w:ilvl w:val="2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pages/CSI/            — CSI</w:t>
      </w:r>
    </w:p>
    <w:p>
      <w:pPr>
        <w:pStyle w:val="ListParagraph"/>
        <w:numPr>
          <w:ilvl w:val="2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pages/Home/           — Accueil dashboard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hooks/               — Custom hooks (useFilter, useAuth, useData)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contexts/            — React contexts (AuthContext, FilterContext)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services/            — Appels API, utilitaires données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data/                — Données embarquées (migration depuis *_data.js)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styles/              — Fichiers CSS complémentaires (animations)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public/              — Assets statiques (logos SVG, favicon, manifest)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tailwind.config.js   — Configuration Tailwind (couleurs, breakpoints)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vite.config.js       — Configuration Vite (plugins, alias)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index.html           — Point d'entrée HTML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3.2 Principe d'isolation par section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Chaque section métier (Energy, Properties, CAPEX, etc.) vit dans son propre dossier sous pages/. Les composants partagés sont dans components/. Cette architecture garantit qu'une modification dans une section n'impacte jamais les autres.</w:t>
      </w:r>
    </w:p>
    <w:p>
      <w:pPr>
        <w:pageBreakBefore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5E8C"/>
          <w:sz w:val="32"/>
          <w:szCs w:val="32"/>
        </w:rPr>
        <w:t xml:space="preserve">4. Sections métier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4.1 Energy — HFO (5 sites)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Suivi de la production thermique HFO sur 5 sites à Madagascar.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color="1B5E8C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Site</w:t>
            </w:r>
          </w:p>
        </w:tc>
        <w:tc>
          <w:tcPr>
            <w:shd w:color="1B5E8C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Contrat (MW)</w:t>
            </w:r>
          </w:p>
        </w:tc>
        <w:tc>
          <w:tcPr>
            <w:shd w:color="1B5E8C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MW/moteur</w:t>
            </w:r>
          </w:p>
        </w:tc>
        <w:tc>
          <w:tcPr>
            <w:shd w:color="1B5E8C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Nb moteurs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Tamatave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1.85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Diego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18.5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Majunga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16.3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Tuléar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9.9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Antsirabe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7.5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KPIs affichés : MW disponible, production MWh, SFOC, SLOC, heures de marche, blackouts, stock fuel. 57 projets HFO suivis (overhauls, maintenance, installation, SCADA).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4.2 Energy — ENR (solaire + projets)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Sites de production existants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Diego — 2.4 MW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Tamatave — 2.0 MW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Majunga — 1.2 MW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Pipeline de 21 projets : 161.2 MWc, 45 MWh BESS, 157.6 M$ CAPEX total.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Champs projet : pvMw, bessMwh, capexM, tri, engPct, constPct, spi, cpi.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4.3 Properties (6 sous-sections)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1B5E8C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Sous-section</w:t>
            </w:r>
          </w:p>
        </w:tc>
        <w:tc>
          <w:tcPr>
            <w:shd w:color="1B5E8C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1B5E8C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Nb projets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Développement (DEV)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Projets immobiliers nouveaux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Travaux (TVX)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Projets en cours de construction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33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 après-vente — 35 étapes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Commercial — Vente immobilière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Ventes d'immeubles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Commercial — Vente foncière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Ventes de terrains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Commercial — Location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Biens en location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Champs : name, site, responsable, étape, timing_var (On Time / Delay), budget_var, status_cps.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4.4 CAPEX (4 pôles)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color="1B5E8C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Pôle</w:t>
            </w:r>
          </w:p>
        </w:tc>
        <w:tc>
          <w:tcPr>
            <w:shd w:color="1B5E8C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Périmètre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ENAT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Énergie et activités techniques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Infrastructure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Bâtiments, routes, réseaux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Tech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Systèmes IT, logiciels, équipements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Études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Études de faisabilité, audits techniques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Champs : budget initial, incurred, H1/H2 2026, projection 2027, TRI.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4.5 Investments (19 projets)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12 investissements externes : OASIS (5.6 M$), Seedstars (4.3 M$), Hotel Tamatave (2.7 M$), BGFI, Energiestro, etc.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7 investissements internes : Café Mary, GHU, HAYA, Hakanto House, etc.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Champs : invest (budget), état (réalisé), pct (exécution %), responsable.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4.6 Reporting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Dashboard de reporting consolidé par pôle : ENR, HFO, LFO, Properties, Investments.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LFO : filtres moteurs (tous, installés, au F23, à rapatrier, à définir)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Commercial : objectifs trimestriels (T1-T4) réalisé vs objectif en EUR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4.7 CSI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Section dédiée au suivi CSI (Corporate Social Investment). Contenu en cours de définition.</w:t>
      </w:r>
    </w:p>
    <w:p>
      <w:pPr>
        <w:pageBreakBefore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5E8C"/>
          <w:sz w:val="32"/>
          <w:szCs w:val="32"/>
        </w:rPr>
        <w:t xml:space="preserve">5. Corrections visuelles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5.1 Logos SVG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Tous les logos du dashboard sont migrés en SVG pour garantir la netteté sur tous les écrans (Retina, 4K, mobile).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Logo Filatex principal — SVG inline dans le composant Header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Icônes de navigation — SVG via composants React dédiés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Logos des pôles — SVG avec couleurs paramétrables via props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5.2 Classes CSS originales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Les classes CSS du dashboard legacy sont conservées comme référence pour assurer la cohérence visuelle pendant la migration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1B5E8C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Préfixe legacy</w:t>
            </w:r>
          </w:p>
        </w:tc>
        <w:tc>
          <w:tcPr>
            <w:shd w:color="1B5E8C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shd w:color="1B5E8C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Équivalent Tailwind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.e-*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Energy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Classes utilitaires + composants Energy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.rpt-*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Reporting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Classes utilitaires + composants Reporting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.enrp-*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Projets ENR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Classes utilitaires + composants ENR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.bnav-*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Bottom nav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Classes utilitaires + composant BottomNav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.inner-*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Panels internes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Classes utilitaires + layout SlidePanel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.kpi-*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KPI boxes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Composant KpiBox avec Tailwind</w:t>
            </w:r>
          </w:p>
        </w:tc>
      </w:tr>
    </w:tbl>
    <w:p>
      <w:pPr>
        <w:pageBreakBefore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5E8C"/>
          <w:sz w:val="32"/>
          <w:szCs w:val="32"/>
        </w:rPr>
        <w:t xml:space="preserve">6. Progressive Web App (PWA)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6.1 Configuration vite-plugin-pwa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Le plugin vite-plugin-pwa génère automatiquement le service worker et le manifest.json. Configuration clé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registerType: 'autoUpdate' — mise à jour automatique en arrière-plan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workbox.runtimeCaching — cache des assets et données API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manifest.name: 'Filatex PMO Dashboard'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manifest.short_name: 'Filatex PMO'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manifest.theme_color: '#080b18'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manifest.icons — icônes 192x192 et 512x512 (PNG + maskable)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6.2 Service Worker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Stratégie de cache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Assets statiques (JS, CSS, images) : Cache First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Données API : Network First avec fallback cache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Navigation : Network First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6.3 Installation mobile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L'application est installable sur iOS (Safari) et Android (Chrome) via le prompt natif « Ajouter à l'écran d'accueil ». L'icône apparaît comme une application native.</w:t>
      </w:r>
    </w:p>
    <w:p>
      <w:pPr>
        <w:pageBreakBefore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5E8C"/>
          <w:sz w:val="32"/>
          <w:szCs w:val="32"/>
        </w:rPr>
        <w:t xml:space="preserve">7. Application Desktop — Tauri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7.1 Scaffold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Tauri 2.x est utilisé pour packager le dashboard en application desktop native (Windows, macOS, Linux). Le frontend React est intégré directement.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src-tauri/          — Code Rust Tauri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src-tauri/tauri.conf.json — Configuration fenêtre, titre, permissions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src-tauri/src/main.rs     — Point d'entrée Rust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7.2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color="1B5E8C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Paramètre</w:t>
            </w:r>
          </w:p>
        </w:tc>
        <w:tc>
          <w:tcPr>
            <w:shd w:color="1B5E8C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Titre fenêtre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Filatex PMO Dashboard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Dimensions par défaut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1440 × 900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Redimensionnable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Oui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Plein écran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Disponible (F11)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Icône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Logo Filatex SVG converti en .ico/.icns</w:t>
            </w:r>
          </w:p>
        </w:tc>
      </w:tr>
    </w:tbl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7.3 Commandes Tauri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Commandes personnalisées Rust exposées au frontend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open_excel — Ouvrir un fichier Excel avec l'application par défaut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read_local_data — Lire des fichiers de données locaux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notify — Afficher une notification système native</w:t>
      </w:r>
    </w:p>
    <w:p>
      <w:pPr>
        <w:pageBreakBefore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5E8C"/>
          <w:sz w:val="32"/>
          <w:szCs w:val="32"/>
        </w:rPr>
        <w:t xml:space="preserve">8. Déploiement GitHub Pages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8.1 Workflow GitHub Actions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Le déploiement est automatisé via GitHub Actions. À chaque push sur la branche main, le workflow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Installe les dépendances (npm ci)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Lance le build Vite (npm run build)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Déploie le dossier dist/ sur GitHub Pages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8.2 URL de production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https://merildev266.github.io/filatex-dashboard/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Le base path Vite est configuré sur /filatex-dashboard/ pour correspondre au dépôt GitHub.</w:t>
      </w:r>
    </w:p>
    <w:p>
      <w:pPr>
        <w:pageBreakBefore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5E8C"/>
          <w:sz w:val="32"/>
          <w:szCs w:val="32"/>
        </w:rPr>
        <w:t xml:space="preserve">9. Archive legacy/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L'intégralité du code legacy (SPA vanilla) est archivée dans le dossier legacy/ à la racine du projet. Cela permet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 conserver une référence fonctionnelle du dashboard original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 comparer le rendu visuel pendant la migration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 récupérer des données ou logiques métier si nécessaire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Structure de l'archive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legacy/index.html    — SPA complète originale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legacy/js/           — Scripts JS par section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legacy/css/          — Feuilles de style par section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legacy/*_data.js     — Fichiers de données embarquées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legacy/app.py        — Serveur Flask original</w:t>
      </w:r>
    </w:p>
    <w:p>
      <w:pPr>
        <w:pageBreakBefore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5E8C"/>
          <w:sz w:val="32"/>
          <w:szCs w:val="32"/>
        </w:rPr>
        <w:t xml:space="preserve">10. Palette de couleurs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Variables CSS / Tailwind définies dans tailwind.config.js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color="1B5E8C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 CSS</w:t>
            </w:r>
          </w:p>
        </w:tc>
        <w:tc>
          <w:tcPr>
            <w:shd w:color="1B5E8C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shd w:color="1B5E8C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Nom Tailwind</w:t>
            </w:r>
          </w:p>
        </w:tc>
        <w:tc>
          <w:tcPr>
            <w:shd w:color="1B5E8C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--dark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#080B18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dark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Fond principal du dashboard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--energy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#00AB63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energy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Energy, statut « on time »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--props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#FDB823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props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Properties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--capex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#5E4C9F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capex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CAPEX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--invest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#F37056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invest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Investments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#5AAFAF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teal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Étapes, éléments secondaires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#E05C5C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danger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Retards, alertes critiques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#426AB3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blue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Développement, liens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#1B5E8C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accent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Titres, éléments d'accentuation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white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Texte sur fond sombre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#F2F2F2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grey-light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Fonds de tableaux alternés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Des couleurs distinctes sont réservées pour les futures sections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Finance — à définir (suggestion : #2E86AB bleu finance)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Audit — à définir (suggestion : #A23B72 magenta)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RH — à définir (suggestion : #F18F01 orange doré)</w:t>
      </w:r>
    </w:p>
    <w:p>
      <w:pPr>
        <w:pageBreakBefore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5E8C"/>
          <w:sz w:val="32"/>
          <w:szCs w:val="32"/>
        </w:rPr>
        <w:t xml:space="preserve">11. Prochaines étapes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11.1 Intégration SharePoint / OneDrive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Remplacement des fichiers *_data.js par des appels API Microsoft Graph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Authentification MSAL (Azure AD) pour accéder aux fichiers Excel OneDrive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Synchronisation automatique des données (webhook ou polling)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Cache local avec invalidation pour fonctionnement hors-ligne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11.2 Publication App Store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iOS : encapsulation via Capacitor ou build Tauri iOS (beta)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Android : encapsulation via Capacitor ou build Tauri Android (beta)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Windows Store : packaging MSIX via Tauri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macOS App Store : packaging DMG/PKG via Tauri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11.3 Nouvelles sections métier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Finance — tableaux de bord financiers consolidés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Audit — suivi des audits internes et externes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RH — indicateurs ressources humaines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11.4 Améliorations techniques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Migration TypeScript (phase 2)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Tests E2E avec Playwright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Monitoring erreurs (Sentry)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Internationalisation (i18n) français / anglais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99999"/>
        <w:sz w:val="16"/>
        <w:szCs w:val="16"/>
      </w:rPr>
      <w:t xml:space="preserve">Page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99999"/>
        <w:sz w:val="16"/>
        <w:szCs w:val="16"/>
      </w:rPr>
      <w:t xml:space="preserve"> /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999999"/>
        <w:sz w:val="16"/>
        <w:szCs w:val="16"/>
      </w:rPr>
      <w:t xml:space="preserve">Filatex PMO Dashboard — Document de Build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2026-03-24T22:15:41.517Z</dcterms:created>
  <dcterms:modified xsi:type="dcterms:W3CDTF">2026-03-24T22:15:41.518Z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