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9A96E"/>
          <w:spacing w:val="30"/>
          <w:sz w:val="16"/>
          <w:szCs w:val="16"/>
        </w:rPr>
        <w:t xml:space="preserve">ODONTOLOGÍA ESTÉTICA  ·  COMPORTAMIENTO DEL PACIENTE  ·  REPORTE OBSERVACIONAL</w:t>
      </w:r>
    </w:p>
    <w:p>
      <w:pPr>
        <w:spacing w:after="140"/>
      </w:pPr>
      <w:r>
        <w:rPr>
          <w:rFonts w:ascii="Georgia" w:cs="Georgia" w:eastAsia="Georgia" w:hAnsi="Georgia"/>
          <w:b/>
          <w:bCs/>
          <w:color w:val="141414"/>
          <w:sz w:val="38"/>
          <w:szCs w:val="38"/>
        </w:rPr>
        <w:t xml:space="preserve">De la red social al motor conversacional: el paciente que llega a la consulta con su sonrisa ya diseñada por inteligencia artificial</w:t>
      </w:r>
    </w:p>
    <w:p>
      <w:pPr>
        <w:spacing w:after="240"/>
      </w:pPr>
      <w:r>
        <w:rPr>
          <w:rFonts w:ascii="Georgia" w:cs="Georgia" w:eastAsia="Georgia" w:hAnsi="Georgia"/>
          <w:i/>
          <w:iCs/>
          <w:color w:val="6B6B6B"/>
          <w:sz w:val="24"/>
          <w:szCs w:val="24"/>
        </w:rPr>
        <w:t xml:space="preserve">Cambio en la vía de llegada a una práctica privada de odontología estética. Reporte observacional de seis meses en Puerto Madero, Buenos Aires (marzo–septiembre de 2026).</w:t>
      </w:r>
    </w:p>
    <w:p>
      <w:pPr>
        <w:pBdr>
          <w:bottom w:val="single" w:color="DDD6C8" w:sz="6" w:space="6"/>
        </w:pBdr>
        <w:spacing w:after="260" w:before="120"/>
      </w:pPr>
      <w:r>
        <w:t xml:space="preserve"/>
      </w:r>
    </w:p>
    <w:p>
      <w:pPr>
        <w:spacing w:after="60"/>
      </w:pPr>
      <w:r>
        <w:rPr>
          <w:rFonts w:ascii="Calibri" w:cs="Calibri" w:eastAsia="Calibri" w:hAnsi="Calibri"/>
          <w:b/>
          <w:bCs/>
          <w:color w:val="141414"/>
          <w:sz w:val="22"/>
          <w:szCs w:val="22"/>
        </w:rPr>
        <w:t xml:space="preserve">Dr. Ariel Merino</w:t>
      </w:r>
    </w:p>
    <w:p>
      <w:pPr>
        <w:spacing w:after="60"/>
      </w:pPr>
      <w:r>
        <w:rPr>
          <w:rFonts w:ascii="Calibri" w:cs="Calibri" w:eastAsia="Calibri" w:hAnsi="Calibri"/>
          <w:color w:val="6B6B6B"/>
          <w:sz w:val="19"/>
          <w:szCs w:val="19"/>
        </w:rPr>
        <w:t xml:space="preserve">Odontología estética y rehabilitación oral. Director clínico, AM Estética Dental — Puerto Madero, Ciudad Autónoma de Buenos Aires, Argentina. Laboratorio de cerámica propio en el mismo centro.</w:t>
      </w:r>
    </w:p>
    <w:p>
      <w:pPr>
        <w:spacing w:after="260"/>
      </w:pPr>
      <w:r>
        <w:rPr>
          <w:rFonts w:ascii="Calibri" w:cs="Calibri" w:eastAsia="Calibri" w:hAnsi="Calibri"/>
          <w:color w:val="6B6B6B"/>
          <w:sz w:val="19"/>
          <w:szCs w:val="19"/>
        </w:rPr>
        <w:t xml:space="preserve">Correspondencia: [correo de contacto] · amesteticadental.com</w:t>
      </w:r>
    </w:p>
    <w:tbl>
      <w:tblPr>
        <w:tblW w:type="dxa" w:w="9070"/>
        <w:tblBorders>
          <w:top w:val="single" w:color="DDD6C8" w:sz="2"/>
          <w:left w:val="single" w:color="C9A96E" w:sz="18"/>
          <w:bottom w:val="single" w:color="DDD6C8" w:sz="2"/>
          <w:right w:val="single" w:color="DDD6C8" w:sz="2"/>
          <w:insideH w:val="none" w:color="FFFFFF" w:sz="0"/>
          <w:insideV w:val="none" w:color="FFFFFF" w:sz="0"/>
        </w:tblBorders>
      </w:tblPr>
      <w:tblGrid>
        <w:gridCol w:w="9070"/>
      </w:tblGrid>
      <w:tr>
        <w:tc>
          <w:tcPr>
            <w:tcW w:type="dxa" w:w="9070"/>
            <w:shd w:fill="F5F0E8" w:color="auto" w:val="clear"/>
            <w:tcMar>
              <w:top w:type="dxa" w:w="220"/>
              <w:left w:type="dxa" w:w="280"/>
              <w:bottom w:type="dxa" w:w="220"/>
              <w:right w:type="dxa" w:w="280"/>
            </w:tcMar>
          </w:tcPr>
          <w:p>
            <w:pPr>
              <w:spacing w:after="140"/>
            </w:pPr>
            <w:r>
              <w:rPr>
                <w:rFonts w:ascii="Calibri" w:cs="Calibri" w:eastAsia="Calibri" w:hAnsi="Calibri"/>
                <w:b/>
                <w:bCs/>
                <w:caps/>
                <w:color w:val="141414"/>
                <w:sz w:val="21"/>
                <w:szCs w:val="21"/>
              </w:rPr>
              <w:t xml:space="preserve">Resumen</w:t>
            </w:r>
          </w:p>
          <w:p>
            <w:pPr>
              <w:spacing w:after="160" w:line="300"/>
              <w:jc w:val="both"/>
            </w:pPr>
            <w:r>
              <w:rPr>
                <w:rFonts w:ascii="Calibri" w:cs="Calibri" w:eastAsia="Calibri" w:hAnsi="Calibri"/>
                <w:b/>
                <w:bCs/>
                <w:i w:val="false"/>
                <w:iCs w:val="false"/>
                <w:color w:val="141414"/>
                <w:sz w:val="22"/>
                <w:szCs w:val="22"/>
              </w:rPr>
              <w:t xml:space="preserve">Antecedentes. </w:t>
            </w:r>
            <w:r>
              <w:rPr>
                <w:rFonts w:ascii="Calibri" w:cs="Calibri" w:eastAsia="Calibri" w:hAnsi="Calibri"/>
                <w:color w:val="141414"/>
                <w:sz w:val="22"/>
                <w:szCs w:val="22"/>
              </w:rPr>
              <w:t xml:space="preserve">Durante más de una década, la vía de llegada dominante del paciente de estética dental fue la red social: el descubrimiento visual pasivo en Instagram o TikTok. En los últimos seis meses, el registro sistemático de la pregunta de anamnesis “¿cómo llegó a la consulta?” muestra un desplazamiento abrupto hacia los asistentes conversacionales de inteligencia artificial.</w:t>
            </w:r>
          </w:p>
          <w:p>
            <w:pPr>
              <w:spacing w:after="160" w:line="300"/>
              <w:jc w:val="both"/>
            </w:pPr>
            <w:r>
              <w:rPr>
                <w:rFonts w:ascii="Calibri" w:cs="Calibri" w:eastAsia="Calibri" w:hAnsi="Calibri"/>
                <w:b/>
                <w:bCs/>
                <w:i w:val="false"/>
                <w:iCs w:val="false"/>
                <w:color w:val="141414"/>
                <w:sz w:val="22"/>
                <w:szCs w:val="22"/>
              </w:rPr>
              <w:t xml:space="preserve">Objetivo. </w:t>
            </w:r>
            <w:r>
              <w:rPr>
                <w:rFonts w:ascii="Calibri" w:cs="Calibri" w:eastAsia="Calibri" w:hAnsi="Calibri"/>
                <w:color w:val="141414"/>
                <w:sz w:val="22"/>
                <w:szCs w:val="22"/>
              </w:rPr>
              <w:t xml:space="preserve">Describir y cuantificar ese cambio en una práctica privada, y analizar sus consecuencias sobre el diagnóstico estético, la comunicación clínica y la gestión de expectativas.</w:t>
            </w:r>
          </w:p>
          <w:p>
            <w:pPr>
              <w:spacing w:after="160" w:line="300"/>
              <w:jc w:val="both"/>
            </w:pPr>
            <w:r>
              <w:rPr>
                <w:rFonts w:ascii="Calibri" w:cs="Calibri" w:eastAsia="Calibri" w:hAnsi="Calibri"/>
                <w:b/>
                <w:bCs/>
                <w:i w:val="false"/>
                <w:iCs w:val="false"/>
                <w:color w:val="141414"/>
                <w:sz w:val="22"/>
                <w:szCs w:val="22"/>
              </w:rPr>
              <w:t xml:space="preserve">Método. </w:t>
            </w:r>
            <w:r>
              <w:rPr>
                <w:rFonts w:ascii="Calibri" w:cs="Calibri" w:eastAsia="Calibri" w:hAnsi="Calibri"/>
                <w:color w:val="141414"/>
                <w:sz w:val="22"/>
                <w:szCs w:val="22"/>
              </w:rPr>
              <w:t xml:space="preserve">Reporte observacional, descriptivo y no aleatorizado, sobre la respuesta declarada por el paciente en la primera consulta, comparada con la línea de base histórica de la misma práctica.</w:t>
            </w:r>
          </w:p>
          <w:p>
            <w:pPr>
              <w:spacing w:after="160" w:line="300"/>
              <w:jc w:val="both"/>
            </w:pPr>
            <w:r>
              <w:rPr>
                <w:rFonts w:ascii="Calibri" w:cs="Calibri" w:eastAsia="Calibri" w:hAnsi="Calibri"/>
                <w:b/>
                <w:bCs/>
                <w:i w:val="false"/>
                <w:iCs w:val="false"/>
                <w:color w:val="141414"/>
                <w:sz w:val="22"/>
                <w:szCs w:val="22"/>
              </w:rPr>
              <w:t xml:space="preserve">Resultados. </w:t>
            </w:r>
            <w:r>
              <w:rPr>
                <w:rFonts w:ascii="Calibri" w:cs="Calibri" w:eastAsia="Calibri" w:hAnsi="Calibri"/>
                <w:color w:val="141414"/>
                <w:sz w:val="22"/>
                <w:szCs w:val="22"/>
              </w:rPr>
              <w:t xml:space="preserve">La proporción pasó de 7 / 0 / 3 (redes sociales / IA / recomendación, sobre cada diez primeras consultas) a 3 / 5 / 2. La mitad de las primeras consultas actuales se origina en una conversación con un asistente de IA, y una proporción creciente de esos pacientes llega con una imagen generada de su propia sonrisa idealizada.</w:t>
            </w:r>
          </w:p>
          <w:p>
            <w:pPr>
              <w:spacing w:after="160" w:line="300"/>
              <w:jc w:val="both"/>
            </w:pPr>
            <w:r>
              <w:rPr>
                <w:rFonts w:ascii="Calibri" w:cs="Calibri" w:eastAsia="Calibri" w:hAnsi="Calibri"/>
                <w:b/>
                <w:bCs/>
                <w:i w:val="false"/>
                <w:iCs w:val="false"/>
                <w:color w:val="141414"/>
                <w:sz w:val="22"/>
                <w:szCs w:val="22"/>
              </w:rPr>
              <w:t xml:space="preserve">Conclusión. </w:t>
            </w:r>
            <w:r>
              <w:rPr>
                <w:rFonts w:ascii="Calibri" w:cs="Calibri" w:eastAsia="Calibri" w:hAnsi="Calibri"/>
                <w:color w:val="141414"/>
                <w:sz w:val="22"/>
                <w:szCs w:val="22"/>
              </w:rPr>
              <w:t xml:space="preserve">El motor conversacional reemplazó a la red social como puerta de entrada, y con ello cambió la naturaleza de la primera consulta: el paciente ya no pregunta qué es posible, sino si lo que ya vio es posible en él. La imagen generada por IA es un estímulo de alto valor comunicacional y ningún valor diagnóstico; el acto clínico consiste en traducirla a un ensayo estético verificable.</w:t>
            </w:r>
          </w:p>
          <w:p>
            <w:pPr>
              <w:spacing w:after="0"/>
              <w:jc w:val="both"/>
            </w:pPr>
            <w:r>
              <w:rPr>
                <w:rFonts w:ascii="Calibri" w:cs="Calibri" w:eastAsia="Calibri" w:hAnsi="Calibri"/>
                <w:b/>
                <w:bCs/>
                <w:color w:val="141414"/>
                <w:sz w:val="21"/>
                <w:szCs w:val="21"/>
              </w:rPr>
              <w:t xml:space="preserve">Palabras clave: </w:t>
            </w:r>
            <w:r>
              <w:rPr>
                <w:rFonts w:ascii="Calibri" w:cs="Calibri" w:eastAsia="Calibri" w:hAnsi="Calibri"/>
                <w:color w:val="141414"/>
                <w:sz w:val="21"/>
                <w:szCs w:val="21"/>
              </w:rPr>
              <w:t xml:space="preserve">odontología estética; inteligencia artificial generativa; diseño de sonrisa digital; expectativas del paciente; mock-up; carillas de porcelana; comportamiento de búsqueda.</w:t>
            </w:r>
          </w:p>
        </w:tc>
      </w:tr>
    </w:tbl>
    <w:p>
      <w:pPr>
        <w:spacing w:after="240"/>
      </w:pPr>
      <w:r>
        <w:t xml:space="preserve"/>
      </w:r>
    </w:p>
    <w:p>
      <w:pPr>
        <w:pStyle w:val="Heading1"/>
        <w:spacing w:after="180" w:before="400"/>
      </w:pPr>
      <w:r>
        <w:rPr>
          <w:rFonts w:ascii="Georgia" w:cs="Georgia" w:eastAsia="Georgia" w:hAnsi="Georgia"/>
          <w:b/>
          <w:bCs/>
          <w:color w:val="141414"/>
          <w:sz w:val="28"/>
          <w:szCs w:val="28"/>
        </w:rPr>
        <w:t xml:space="preserve">1. Introducción</w:t>
      </w:r>
    </w:p>
    <w:p>
      <w:pPr>
        <w:spacing w:after="160" w:line="300"/>
        <w:jc w:val="both"/>
      </w:pPr>
      <w:r>
        <w:rPr>
          <w:rFonts w:ascii="Calibri" w:cs="Calibri" w:eastAsia="Calibri" w:hAnsi="Calibri"/>
          <w:color w:val="141414"/>
          <w:sz w:val="22"/>
          <w:szCs w:val="22"/>
        </w:rPr>
        <w:t xml:space="preserve">Toda primera consulta de estética dental comienza, en esta práctica, con la misma pregunta: </w:t>
      </w:r>
      <w:r>
        <w:rPr>
          <w:rFonts w:ascii="Calibri" w:cs="Calibri" w:eastAsia="Calibri" w:hAnsi="Calibri"/>
          <w:b w:val="false"/>
          <w:bCs w:val="false"/>
          <w:i/>
          <w:iCs/>
          <w:color w:val="141414"/>
          <w:sz w:val="22"/>
          <w:szCs w:val="22"/>
        </w:rPr>
        <w:t xml:space="preserve">¿cómo llegó hasta acá?</w:t>
      </w:r>
      <w:r>
        <w:rPr>
          <w:rFonts w:ascii="Calibri" w:cs="Calibri" w:eastAsia="Calibri" w:hAnsi="Calibri"/>
          <w:color w:val="141414"/>
          <w:sz w:val="22"/>
          <w:szCs w:val="22"/>
        </w:rPr>
        <w:t xml:space="preserve"> No es una formalidad administrativa. La respuesta anticipa con notable precisión el tipo de conversación que vendrá después: qué sabe el paciente, qué espera, con qué referencia visual compara y cuánta distancia habrá entre su expectativa y lo que la biología permite.</w:t>
      </w:r>
    </w:p>
    <w:p>
      <w:pPr>
        <w:spacing w:after="160" w:line="300"/>
        <w:jc w:val="both"/>
      </w:pPr>
      <w:r>
        <w:rPr>
          <w:rFonts w:ascii="Calibri" w:cs="Calibri" w:eastAsia="Calibri" w:hAnsi="Calibri"/>
          <w:color w:val="141414"/>
          <w:sz w:val="22"/>
          <w:szCs w:val="22"/>
        </w:rPr>
        <w:t xml:space="preserve">Durante años esa respuesta fue previsible. El paciente había visto un caso publicado en Instagram, un video en TikTok, un antes y después. El descubrimiento era </w:t>
      </w:r>
      <w:r>
        <w:rPr>
          <w:rFonts w:ascii="Calibri" w:cs="Calibri" w:eastAsia="Calibri" w:hAnsi="Calibri"/>
          <w:b w:val="false"/>
          <w:bCs w:val="false"/>
          <w:i/>
          <w:iCs/>
          <w:color w:val="141414"/>
          <w:sz w:val="22"/>
          <w:szCs w:val="22"/>
        </w:rPr>
        <w:t xml:space="preserve">pasivo</w:t>
      </w:r>
      <w:r>
        <w:rPr>
          <w:rFonts w:ascii="Calibri" w:cs="Calibri" w:eastAsia="Calibri" w:hAnsi="Calibri"/>
          <w:color w:val="141414"/>
          <w:sz w:val="22"/>
          <w:szCs w:val="22"/>
        </w:rPr>
        <w:t xml:space="preserve">: la plataforma le mostraba algo que él no había pedido, y ese algo despertaba un deseo latente. El profesional funcionaba como referencia visual, y la consulta empezaba por lo general en un punto amplio y poco definido —“me gustaría mejorar mi sonrisa”— que el clínico debía ir acotando.</w:t>
      </w:r>
    </w:p>
    <w:p>
      <w:pPr>
        <w:spacing w:after="160" w:line="300"/>
        <w:jc w:val="both"/>
      </w:pPr>
      <w:r>
        <w:rPr>
          <w:rFonts w:ascii="Calibri" w:cs="Calibri" w:eastAsia="Calibri" w:hAnsi="Calibri"/>
          <w:color w:val="141414"/>
          <w:sz w:val="22"/>
          <w:szCs w:val="22"/>
        </w:rPr>
        <w:t xml:space="preserve">Esa secuencia se rompió. En los últimos seis meses, un número creciente de pacientes responde algo que hasta hace poco no existía como categoría: </w:t>
      </w:r>
      <w:r>
        <w:rPr>
          <w:rFonts w:ascii="Calibri" w:cs="Calibri" w:eastAsia="Calibri" w:hAnsi="Calibri"/>
          <w:b w:val="false"/>
          <w:bCs w:val="false"/>
          <w:i/>
          <w:iCs/>
          <w:color w:val="141414"/>
          <w:sz w:val="22"/>
          <w:szCs w:val="22"/>
        </w:rPr>
        <w:t xml:space="preserve">“lo consulté con ChatGPT”</w:t>
      </w:r>
      <w:r>
        <w:rPr>
          <w:rFonts w:ascii="Calibri" w:cs="Calibri" w:eastAsia="Calibri" w:hAnsi="Calibri"/>
          <w:color w:val="141414"/>
          <w:sz w:val="22"/>
          <w:szCs w:val="22"/>
        </w:rPr>
        <w:t xml:space="preserve">. Y no llegan con una pregunta abierta. Llegan con una imagen —frecuentemente de su propia cara, generada a partir de una fotografía que ellos mismos subieron— donde ya vieron su sonrisa más blanca, más alineada, más proporcionada. La pregunta que traen ya no es </w:t>
      </w:r>
      <w:r>
        <w:rPr>
          <w:rFonts w:ascii="Calibri" w:cs="Calibri" w:eastAsia="Calibri" w:hAnsi="Calibri"/>
          <w:b w:val="false"/>
          <w:bCs w:val="false"/>
          <w:i/>
          <w:iCs/>
          <w:color w:val="141414"/>
          <w:sz w:val="22"/>
          <w:szCs w:val="22"/>
        </w:rPr>
        <w:t xml:space="preserve">qué se puede hacer</w:t>
      </w:r>
      <w:r>
        <w:rPr>
          <w:rFonts w:ascii="Calibri" w:cs="Calibri" w:eastAsia="Calibri" w:hAnsi="Calibri"/>
          <w:color w:val="141414"/>
          <w:sz w:val="22"/>
          <w:szCs w:val="22"/>
        </w:rPr>
        <w:t xml:space="preserve">, sino </w:t>
      </w:r>
      <w:r>
        <w:rPr>
          <w:rFonts w:ascii="Calibri" w:cs="Calibri" w:eastAsia="Calibri" w:hAnsi="Calibri"/>
          <w:b w:val="false"/>
          <w:bCs w:val="false"/>
          <w:i/>
          <w:iCs/>
          <w:color w:val="141414"/>
          <w:sz w:val="22"/>
          <w:szCs w:val="22"/>
        </w:rPr>
        <w:t xml:space="preserve">si esto que vi se puede lograr en mí</w:t>
      </w:r>
      <w:r>
        <w:rPr>
          <w:rFonts w:ascii="Calibri" w:cs="Calibri" w:eastAsia="Calibri" w:hAnsi="Calibri"/>
          <w:color w:val="141414"/>
          <w:sz w:val="22"/>
          <w:szCs w:val="22"/>
        </w:rPr>
        <w:t xml:space="preserve">.</w:t>
      </w:r>
    </w:p>
    <w:p>
      <w:pPr>
        <w:spacing w:after="160" w:line="300"/>
        <w:jc w:val="both"/>
      </w:pPr>
      <w:r>
        <w:rPr>
          <w:rFonts w:ascii="Calibri" w:cs="Calibri" w:eastAsia="Calibri" w:hAnsi="Calibri"/>
          <w:color w:val="141414"/>
          <w:sz w:val="22"/>
          <w:szCs w:val="22"/>
        </w:rPr>
        <w:t xml:space="preserve">Este reporte documenta ese desplazamiento tal como se observó en una práctica privada, lo cuantifica con el instrumento disponible —la respuesta declarada en la anamnesis— y discute lo que implica clínicamente. La tesis es simple: no cambió sólo el canal de captación; cambió el estado mental con el que el paciente cruza la puerta, y eso obliga a revisar el protocolo de la primera consulta.</w:t>
      </w:r>
    </w:p>
    <w:p>
      <w:pPr>
        <w:pStyle w:val="Heading1"/>
        <w:spacing w:after="180" w:before="400"/>
      </w:pPr>
      <w:r>
        <w:rPr>
          <w:rFonts w:ascii="Georgia" w:cs="Georgia" w:eastAsia="Georgia" w:hAnsi="Georgia"/>
          <w:b/>
          <w:bCs/>
          <w:color w:val="141414"/>
          <w:sz w:val="28"/>
          <w:szCs w:val="28"/>
        </w:rPr>
        <w:t xml:space="preserve">2. Objetivos</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Objetivo primario. </w:t>
      </w:r>
      <w:r>
        <w:rPr>
          <w:rFonts w:ascii="Calibri" w:cs="Calibri" w:eastAsia="Calibri" w:hAnsi="Calibri"/>
          <w:color w:val="141414"/>
          <w:sz w:val="22"/>
          <w:szCs w:val="22"/>
        </w:rPr>
        <w:t xml:space="preserve">Describir y cuantificar el cambio en la vía de llegada declarada del paciente de estética dental durante un período de seis meses, comparándolo con la línea de base histórica de la misma práctica.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Objetivo secundario 1. </w:t>
      </w:r>
      <w:r>
        <w:rPr>
          <w:rFonts w:ascii="Calibri" w:cs="Calibri" w:eastAsia="Calibri" w:hAnsi="Calibri"/>
          <w:color w:val="141414"/>
          <w:sz w:val="22"/>
          <w:szCs w:val="22"/>
        </w:rPr>
        <w:t xml:space="preserve">Caracterizar cualitativamente el nuevo perfil de consulta: qué material trae el paciente, con qué vocabulario formula su demanda y con qué grado de definición previa.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Objetivo secundario 2. </w:t>
      </w:r>
      <w:r>
        <w:rPr>
          <w:rFonts w:ascii="Calibri" w:cs="Calibri" w:eastAsia="Calibri" w:hAnsi="Calibri"/>
          <w:color w:val="141414"/>
          <w:sz w:val="22"/>
          <w:szCs w:val="22"/>
        </w:rPr>
        <w:t xml:space="preserve">Proponer un protocolo clínico de traducción entre la imagen generada por inteligencia artificial y el ensayo estético verificable en boca.</w:t>
      </w:r>
    </w:p>
    <w:p>
      <w:pPr>
        <w:spacing w:after="120"/>
      </w:pPr>
      <w:r>
        <w:t xml:space="preserve"/>
      </w:r>
    </w:p>
    <w:p>
      <w:pPr>
        <w:pStyle w:val="Heading1"/>
        <w:spacing w:after="180" w:before="400"/>
      </w:pPr>
      <w:r>
        <w:rPr>
          <w:rFonts w:ascii="Georgia" w:cs="Georgia" w:eastAsia="Georgia" w:hAnsi="Georgia"/>
          <w:b/>
          <w:bCs/>
          <w:color w:val="141414"/>
          <w:sz w:val="28"/>
          <w:szCs w:val="28"/>
        </w:rPr>
        <w:t xml:space="preserve">3. Materiales y método</w:t>
      </w:r>
    </w:p>
    <w:p>
      <w:pPr>
        <w:pStyle w:val="Heading2"/>
        <w:spacing w:after="140" w:before="300"/>
      </w:pPr>
      <w:r>
        <w:rPr>
          <w:rFonts w:ascii="Georgia" w:cs="Georgia" w:eastAsia="Georgia" w:hAnsi="Georgia"/>
          <w:b/>
          <w:bCs/>
          <w:color w:val="141414"/>
          <w:sz w:val="24"/>
          <w:szCs w:val="24"/>
        </w:rPr>
        <w:t xml:space="preserve">3.1 Diseño</w:t>
      </w:r>
    </w:p>
    <w:p>
      <w:pPr>
        <w:spacing w:after="160" w:line="300"/>
        <w:jc w:val="both"/>
      </w:pPr>
      <w:r>
        <w:rPr>
          <w:rFonts w:ascii="Calibri" w:cs="Calibri" w:eastAsia="Calibri" w:hAnsi="Calibri"/>
          <w:color w:val="141414"/>
          <w:sz w:val="22"/>
          <w:szCs w:val="22"/>
        </w:rPr>
        <w:t xml:space="preserve">Reporte observacional, descriptivo, retrospectivo y no aleatorizado, realizado sobre la totalidad de las primeras consultas de estética dental de una práctica privada unipersonal con laboratorio de cerámica propio, situada en Puerto Madero, Ciudad Autónoma de Buenos Aires.</w:t>
      </w:r>
    </w:p>
    <w:p>
      <w:pPr>
        <w:pStyle w:val="Heading2"/>
        <w:spacing w:after="140" w:before="300"/>
      </w:pPr>
      <w:r>
        <w:rPr>
          <w:rFonts w:ascii="Georgia" w:cs="Georgia" w:eastAsia="Georgia" w:hAnsi="Georgia"/>
          <w:b/>
          <w:bCs/>
          <w:color w:val="141414"/>
          <w:sz w:val="24"/>
          <w:szCs w:val="24"/>
        </w:rPr>
        <w:t xml:space="preserve">3.2 Instrumento</w:t>
      </w:r>
    </w:p>
    <w:p>
      <w:pPr>
        <w:spacing w:after="160" w:line="300"/>
        <w:jc w:val="both"/>
      </w:pPr>
      <w:r>
        <w:rPr>
          <w:rFonts w:ascii="Calibri" w:cs="Calibri" w:eastAsia="Calibri" w:hAnsi="Calibri"/>
          <w:color w:val="141414"/>
          <w:sz w:val="22"/>
          <w:szCs w:val="22"/>
        </w:rPr>
        <w:t xml:space="preserve">La variable principal es la respuesta espontánea del paciente a la pregunta abierta de anamnesis </w:t>
      </w:r>
      <w:r>
        <w:rPr>
          <w:rFonts w:ascii="Calibri" w:cs="Calibri" w:eastAsia="Calibri" w:hAnsi="Calibri"/>
          <w:b w:val="false"/>
          <w:bCs w:val="false"/>
          <w:i/>
          <w:iCs/>
          <w:color w:val="141414"/>
          <w:sz w:val="22"/>
          <w:szCs w:val="22"/>
        </w:rPr>
        <w:t xml:space="preserve">“¿cómo llegó a la consulta?”</w:t>
      </w:r>
      <w:r>
        <w:rPr>
          <w:rFonts w:ascii="Calibri" w:cs="Calibri" w:eastAsia="Calibri" w:hAnsi="Calibri"/>
          <w:color w:val="141414"/>
          <w:sz w:val="22"/>
          <w:szCs w:val="22"/>
        </w:rPr>
        <w:t xml:space="preserve">, formulada sistemáticamente por el mismo operador antes de cualquier examen clínico y antes de mostrar material fotográfico de la práctica, para evitar inducir la respuesta. Las respuestas se agruparon a posteriori en tres categorías:</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Redes sociales: </w:t>
      </w:r>
      <w:r>
        <w:rPr>
          <w:rFonts w:ascii="Calibri" w:cs="Calibri" w:eastAsia="Calibri" w:hAnsi="Calibri"/>
          <w:color w:val="141414"/>
          <w:sz w:val="22"/>
          <w:szCs w:val="22"/>
        </w:rPr>
        <w:t xml:space="preserve">Instagram, TikTok u otra plataforma de contenido visual, incluyendo tanto el descubrimiento orgánico como la publicidad.</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Asistente conversacional de IA: </w:t>
      </w:r>
      <w:r>
        <w:rPr>
          <w:rFonts w:ascii="Calibri" w:cs="Calibri" w:eastAsia="Calibri" w:hAnsi="Calibri"/>
          <w:color w:val="141414"/>
          <w:sz w:val="22"/>
          <w:szCs w:val="22"/>
        </w:rPr>
        <w:t xml:space="preserve">el paciente menciona explícitamente haber consultado, preguntado o “hablado” con ChatGPT u otro asistente generativo sobre su sonrisa, su tratamiento o dónde tratarse.</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Recomendación directa: </w:t>
      </w:r>
      <w:r>
        <w:rPr>
          <w:rFonts w:ascii="Calibri" w:cs="Calibri" w:eastAsia="Calibri" w:hAnsi="Calibri"/>
          <w:color w:val="141414"/>
          <w:sz w:val="22"/>
          <w:szCs w:val="22"/>
        </w:rPr>
        <w:t xml:space="preserve">un paciente tratado, un colega derivante o un allegado recomendó la consulta de persona a persona.</w:t>
      </w:r>
    </w:p>
    <w:p>
      <w:pPr>
        <w:pStyle w:val="Heading2"/>
        <w:spacing w:after="140" w:before="300"/>
      </w:pPr>
      <w:r>
        <w:rPr>
          <w:rFonts w:ascii="Georgia" w:cs="Georgia" w:eastAsia="Georgia" w:hAnsi="Georgia"/>
          <w:b/>
          <w:bCs/>
          <w:color w:val="141414"/>
          <w:sz w:val="24"/>
          <w:szCs w:val="24"/>
        </w:rPr>
        <w:t xml:space="preserve">3.3 Período y comparación</w:t>
      </w:r>
    </w:p>
    <w:p>
      <w:pPr>
        <w:spacing w:after="160" w:line="300"/>
        <w:jc w:val="both"/>
      </w:pPr>
      <w:r>
        <w:rPr>
          <w:rFonts w:ascii="Calibri" w:cs="Calibri" w:eastAsia="Calibri" w:hAnsi="Calibri"/>
          <w:color w:val="141414"/>
          <w:sz w:val="22"/>
          <w:szCs w:val="22"/>
        </w:rPr>
        <w:t xml:space="preserve">Se consideraron las primeras consultas del período de seis meses comprendido entre marzo y septiembre de 2026. La comparación se establece contra la </w:t>
      </w:r>
      <w:r>
        <w:rPr>
          <w:rFonts w:ascii="Calibri" w:cs="Calibri" w:eastAsia="Calibri" w:hAnsi="Calibri"/>
          <w:b w:val="false"/>
          <w:bCs w:val="false"/>
          <w:i/>
          <w:iCs/>
          <w:color w:val="141414"/>
          <w:sz w:val="22"/>
          <w:szCs w:val="22"/>
        </w:rPr>
        <w:t xml:space="preserve">línea de base histórica</w:t>
      </w:r>
      <w:r>
        <w:rPr>
          <w:rFonts w:ascii="Calibri" w:cs="Calibri" w:eastAsia="Calibri" w:hAnsi="Calibri"/>
          <w:color w:val="141414"/>
          <w:sz w:val="22"/>
          <w:szCs w:val="22"/>
        </w:rPr>
        <w:t xml:space="preserve"> de la práctica: la distribución estable observada durante los años previos, en los que la categoría “asistente conversacional de IA” no registraba menciones.</w:t>
      </w:r>
    </w:p>
    <w:p>
      <w:pPr>
        <w:spacing w:after="160" w:line="300"/>
        <w:jc w:val="both"/>
      </w:pPr>
      <w:r>
        <w:rPr>
          <w:rFonts w:ascii="Calibri" w:cs="Calibri" w:eastAsia="Calibri" w:hAnsi="Calibri"/>
          <w:color w:val="141414"/>
          <w:sz w:val="22"/>
          <w:szCs w:val="22"/>
        </w:rPr>
        <w:t xml:space="preserve">Los resultados se expresan como proporción sobre cada diez primeras consultas, que es la forma en que el dato se registró y se revisó clínicamente. No se aplicó análisis estadístico inferencial: el propósito del reporte es describir una tendencia observada en el consultorio, no establecer significación poblacional.</w:t>
      </w:r>
    </w:p>
    <w:p>
      <w:pPr>
        <w:spacing w:after="120"/>
      </w:pPr>
      <w:r>
        <w:t xml:space="preserve"/>
      </w:r>
    </w:p>
    <w:p>
      <w:pPr>
        <w:pStyle w:val="Heading1"/>
        <w:spacing w:after="180" w:before="400"/>
      </w:pPr>
      <w:r>
        <w:rPr>
          <w:rFonts w:ascii="Georgia" w:cs="Georgia" w:eastAsia="Georgia" w:hAnsi="Georgia"/>
          <w:b/>
          <w:bCs/>
          <w:color w:val="141414"/>
          <w:sz w:val="28"/>
          <w:szCs w:val="28"/>
        </w:rPr>
        <w:t xml:space="preserve">4. Resultados</w:t>
      </w:r>
    </w:p>
    <w:p>
      <w:pPr>
        <w:pStyle w:val="Heading2"/>
        <w:spacing w:after="140" w:before="300"/>
      </w:pPr>
      <w:r>
        <w:rPr>
          <w:rFonts w:ascii="Georgia" w:cs="Georgia" w:eastAsia="Georgia" w:hAnsi="Georgia"/>
          <w:b/>
          <w:bCs/>
          <w:color w:val="141414"/>
          <w:sz w:val="24"/>
          <w:szCs w:val="24"/>
        </w:rPr>
        <w:t xml:space="preserve">4.1 Distribución de la vía de llegada</w:t>
      </w:r>
    </w:p>
    <w:p>
      <w:pPr>
        <w:spacing w:after="160" w:line="300"/>
        <w:jc w:val="both"/>
      </w:pPr>
      <w:r>
        <w:rPr>
          <w:rFonts w:ascii="Calibri" w:cs="Calibri" w:eastAsia="Calibri" w:hAnsi="Calibri"/>
          <w:color w:val="141414"/>
          <w:sz w:val="22"/>
          <w:szCs w:val="22"/>
        </w:rPr>
        <w:t xml:space="preserve">La comparación entre la línea de base histórica y el período observado se presenta en la Tabla 1 y en la Figura 1.</w:t>
      </w:r>
    </w:p>
    <w:tbl>
      <w:tblPr>
        <w:tblW w:type="dxa" w:w="9070"/>
        <w:tblBorders>
          <w:top w:val="single" w:color="DDD6C8" w:sz="2"/>
          <w:left w:val="none" w:color="FFFFFF" w:sz="0"/>
          <w:bottom w:val="single" w:color="DDD6C8" w:sz="2"/>
          <w:right w:val="none" w:color="FFFFFF" w:sz="0"/>
          <w:insideH w:val="single" w:color="DDD6C8" w:sz="2"/>
          <w:insideV w:val="none" w:color="FFFFFF" w:sz="0"/>
        </w:tblBorders>
      </w:tblPr>
      <w:tblGrid>
        <w:gridCol w:w="3470"/>
        <w:gridCol w:w="2800"/>
        <w:gridCol w:w="2800"/>
      </w:tblGrid>
      <w:tr>
        <w:trPr>
          <w:tblHeader/>
        </w:trPr>
        <w:tc>
          <w:tcPr>
            <w:tcW w:type="dxa" w:w="3470"/>
            <w:shd w:fill="141414" w:color="auto" w:val="clear"/>
            <w:tcMar>
              <w:top w:type="dxa" w:w="140"/>
              <w:left w:type="dxa" w:w="180"/>
              <w:bottom w:type="dxa" w:w="140"/>
              <w:right w:type="dxa" w:w="180"/>
            </w:tcMar>
          </w:tcPr>
          <w:p>
            <w:pPr>
              <w:jc w:val="left"/>
            </w:pPr>
            <w:r>
              <w:rPr>
                <w:rFonts w:ascii="Calibri" w:cs="Calibri" w:eastAsia="Calibri" w:hAnsi="Calibri"/>
                <w:b/>
                <w:bCs/>
                <w:color w:val="FFFFFF"/>
                <w:sz w:val="20"/>
                <w:szCs w:val="20"/>
              </w:rPr>
              <w:t xml:space="preserve">Vía de llegada declarada</w:t>
            </w:r>
          </w:p>
        </w:tc>
        <w:tc>
          <w:tcPr>
            <w:tcW w:type="dxa" w:w="2800"/>
            <w:shd w:fill="141414" w:color="auto" w:val="clear"/>
            <w:tcMar>
              <w:top w:type="dxa" w:w="140"/>
              <w:left w:type="dxa" w:w="180"/>
              <w:bottom w:type="dxa" w:w="140"/>
              <w:right w:type="dxa" w:w="180"/>
            </w:tcMar>
          </w:tcPr>
          <w:p>
            <w:pPr>
              <w:jc w:val="center"/>
            </w:pPr>
            <w:r>
              <w:rPr>
                <w:rFonts w:ascii="Calibri" w:cs="Calibri" w:eastAsia="Calibri" w:hAnsi="Calibri"/>
                <w:b/>
                <w:bCs/>
                <w:color w:val="FFFFFF"/>
                <w:sz w:val="20"/>
                <w:szCs w:val="20"/>
              </w:rPr>
              <w:t xml:space="preserve">Línea de base histórica</w:t>
            </w:r>
          </w:p>
        </w:tc>
        <w:tc>
          <w:tcPr>
            <w:tcW w:type="dxa" w:w="2800"/>
            <w:shd w:fill="141414" w:color="auto" w:val="clear"/>
            <w:tcMar>
              <w:top w:type="dxa" w:w="140"/>
              <w:left w:type="dxa" w:w="180"/>
              <w:bottom w:type="dxa" w:w="140"/>
              <w:right w:type="dxa" w:w="180"/>
            </w:tcMar>
          </w:tcPr>
          <w:p>
            <w:pPr>
              <w:jc w:val="center"/>
            </w:pPr>
            <w:r>
              <w:rPr>
                <w:rFonts w:ascii="Calibri" w:cs="Calibri" w:eastAsia="Calibri" w:hAnsi="Calibri"/>
                <w:b/>
                <w:bCs/>
                <w:color w:val="FFFFFF"/>
                <w:sz w:val="20"/>
                <w:szCs w:val="20"/>
              </w:rPr>
              <w:t xml:space="preserve">Últimos 6 meses</w:t>
            </w:r>
          </w:p>
        </w:tc>
      </w:tr>
      <w:tr>
        <w:tc>
          <w:tcPr>
            <w:tcW w:type="dxa" w:w="3470"/>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Redes sociales (Instagram, TikTok)</w:t>
            </w:r>
          </w:p>
        </w:tc>
        <w:tc>
          <w:tcPr>
            <w:tcW w:type="dxa" w:w="2800"/>
            <w:shd w:fill="FFFFFF" w:color="auto" w:val="clear"/>
            <w:tcMar>
              <w:top w:type="dxa" w:w="130"/>
              <w:left w:type="dxa" w:w="180"/>
              <w:bottom w:type="dxa" w:w="130"/>
              <w:right w:type="dxa" w:w="180"/>
            </w:tcMar>
          </w:tcPr>
          <w:p>
            <w:pPr>
              <w:jc w:val="center"/>
            </w:pPr>
            <w:r>
              <w:rPr>
                <w:rFonts w:ascii="Calibri" w:cs="Calibri" w:eastAsia="Calibri" w:hAnsi="Calibri"/>
                <w:b w:val="false"/>
                <w:bCs w:val="false"/>
                <w:color w:val="141414"/>
                <w:sz w:val="20"/>
                <w:szCs w:val="20"/>
              </w:rPr>
              <w:t xml:space="preserve">7 de cada 10</w:t>
            </w:r>
          </w:p>
        </w:tc>
        <w:tc>
          <w:tcPr>
            <w:tcW w:type="dxa" w:w="2800"/>
            <w:shd w:fill="FFFFFF" w:color="auto" w:val="clear"/>
            <w:tcMar>
              <w:top w:type="dxa" w:w="130"/>
              <w:left w:type="dxa" w:w="180"/>
              <w:bottom w:type="dxa" w:w="130"/>
              <w:right w:type="dxa" w:w="180"/>
            </w:tcMar>
          </w:tcPr>
          <w:p>
            <w:pPr>
              <w:jc w:val="center"/>
            </w:pPr>
            <w:r>
              <w:rPr>
                <w:rFonts w:ascii="Calibri" w:cs="Calibri" w:eastAsia="Calibri" w:hAnsi="Calibri"/>
                <w:b w:val="false"/>
                <w:bCs w:val="false"/>
                <w:color w:val="141414"/>
                <w:sz w:val="20"/>
                <w:szCs w:val="20"/>
              </w:rPr>
              <w:t xml:space="preserve">3 de cada 10</w:t>
            </w:r>
          </w:p>
        </w:tc>
      </w:tr>
      <w:tr>
        <w:tc>
          <w:tcPr>
            <w:tcW w:type="dxa" w:w="3470"/>
            <w:shd w:fill="F5F0E8" w:color="auto" w:val="clear"/>
            <w:tcMar>
              <w:top w:type="dxa" w:w="130"/>
              <w:left w:type="dxa" w:w="180"/>
              <w:bottom w:type="dxa" w:w="130"/>
              <w:right w:type="dxa" w:w="180"/>
            </w:tcMar>
          </w:tcPr>
          <w:p>
            <w:pPr>
              <w:jc w:val="left"/>
            </w:pPr>
            <w:r>
              <w:rPr>
                <w:rFonts w:ascii="Calibri" w:cs="Calibri" w:eastAsia="Calibri" w:hAnsi="Calibri"/>
                <w:b/>
                <w:bCs/>
                <w:color w:val="141414"/>
                <w:sz w:val="20"/>
                <w:szCs w:val="20"/>
              </w:rPr>
              <w:t xml:space="preserve">Asistente conversacional de IA (ChatGPT y similares)</w:t>
            </w:r>
          </w:p>
        </w:tc>
        <w:tc>
          <w:tcPr>
            <w:tcW w:type="dxa" w:w="2800"/>
            <w:shd w:fill="F5F0E8" w:color="auto" w:val="clear"/>
            <w:tcMar>
              <w:top w:type="dxa" w:w="130"/>
              <w:left w:type="dxa" w:w="180"/>
              <w:bottom w:type="dxa" w:w="130"/>
              <w:right w:type="dxa" w:w="180"/>
            </w:tcMar>
          </w:tcPr>
          <w:p>
            <w:pPr>
              <w:jc w:val="center"/>
            </w:pPr>
            <w:r>
              <w:rPr>
                <w:rFonts w:ascii="Calibri" w:cs="Calibri" w:eastAsia="Calibri" w:hAnsi="Calibri"/>
                <w:b/>
                <w:bCs/>
                <w:color w:val="141414"/>
                <w:sz w:val="20"/>
                <w:szCs w:val="20"/>
              </w:rPr>
              <w:t xml:space="preserve">0 de cada 10</w:t>
            </w:r>
          </w:p>
        </w:tc>
        <w:tc>
          <w:tcPr>
            <w:tcW w:type="dxa" w:w="2800"/>
            <w:shd w:fill="F5F0E8" w:color="auto" w:val="clear"/>
            <w:tcMar>
              <w:top w:type="dxa" w:w="130"/>
              <w:left w:type="dxa" w:w="180"/>
              <w:bottom w:type="dxa" w:w="130"/>
              <w:right w:type="dxa" w:w="180"/>
            </w:tcMar>
          </w:tcPr>
          <w:p>
            <w:pPr>
              <w:jc w:val="center"/>
            </w:pPr>
            <w:r>
              <w:rPr>
                <w:rFonts w:ascii="Calibri" w:cs="Calibri" w:eastAsia="Calibri" w:hAnsi="Calibri"/>
                <w:b/>
                <w:bCs/>
                <w:color w:val="141414"/>
                <w:sz w:val="20"/>
                <w:szCs w:val="20"/>
              </w:rPr>
              <w:t xml:space="preserve">5 de cada 10</w:t>
            </w:r>
          </w:p>
        </w:tc>
      </w:tr>
      <w:tr>
        <w:tc>
          <w:tcPr>
            <w:tcW w:type="dxa" w:w="3470"/>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Recomendación directa de un paciente</w:t>
            </w:r>
          </w:p>
        </w:tc>
        <w:tc>
          <w:tcPr>
            <w:tcW w:type="dxa" w:w="2800"/>
            <w:shd w:fill="FFFFFF" w:color="auto" w:val="clear"/>
            <w:tcMar>
              <w:top w:type="dxa" w:w="130"/>
              <w:left w:type="dxa" w:w="180"/>
              <w:bottom w:type="dxa" w:w="130"/>
              <w:right w:type="dxa" w:w="180"/>
            </w:tcMar>
          </w:tcPr>
          <w:p>
            <w:pPr>
              <w:jc w:val="center"/>
            </w:pPr>
            <w:r>
              <w:rPr>
                <w:rFonts w:ascii="Calibri" w:cs="Calibri" w:eastAsia="Calibri" w:hAnsi="Calibri"/>
                <w:b w:val="false"/>
                <w:bCs w:val="false"/>
                <w:color w:val="141414"/>
                <w:sz w:val="20"/>
                <w:szCs w:val="20"/>
              </w:rPr>
              <w:t xml:space="preserve">3 de cada 10</w:t>
            </w:r>
          </w:p>
        </w:tc>
        <w:tc>
          <w:tcPr>
            <w:tcW w:type="dxa" w:w="2800"/>
            <w:shd w:fill="FFFFFF" w:color="auto" w:val="clear"/>
            <w:tcMar>
              <w:top w:type="dxa" w:w="130"/>
              <w:left w:type="dxa" w:w="180"/>
              <w:bottom w:type="dxa" w:w="130"/>
              <w:right w:type="dxa" w:w="180"/>
            </w:tcMar>
          </w:tcPr>
          <w:p>
            <w:pPr>
              <w:jc w:val="center"/>
            </w:pPr>
            <w:r>
              <w:rPr>
                <w:rFonts w:ascii="Calibri" w:cs="Calibri" w:eastAsia="Calibri" w:hAnsi="Calibri"/>
                <w:b w:val="false"/>
                <w:bCs w:val="false"/>
                <w:color w:val="141414"/>
                <w:sz w:val="20"/>
                <w:szCs w:val="20"/>
              </w:rPr>
              <w:t xml:space="preserve">2 de cada 10</w:t>
            </w:r>
          </w:p>
        </w:tc>
      </w:tr>
    </w:tbl>
    <w:p>
      <w:pPr>
        <w:spacing w:after="260" w:before="100" w:line="260"/>
        <w:jc w:val="left"/>
      </w:pPr>
      <w:r>
        <w:rPr>
          <w:rFonts w:ascii="Calibri" w:cs="Calibri" w:eastAsia="Calibri" w:hAnsi="Calibri"/>
          <w:i/>
          <w:iCs/>
          <w:color w:val="6B6B6B"/>
          <w:sz w:val="18"/>
          <w:szCs w:val="18"/>
        </w:rPr>
        <w:t xml:space="preserve">Tabla 1. Vía de llegada declarada en la primera consulta, expresada sobre cada diez primeras consultas. Línea de base histórica de la práctica frente al período marzo–septiembre de 2026.</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60" w:before="100" w:line="260"/>
        <w:jc w:val="left"/>
      </w:pPr>
      <w:r>
        <w:rPr>
          <w:rFonts w:ascii="Calibri" w:cs="Calibri" w:eastAsia="Calibri" w:hAnsi="Calibri"/>
          <w:i/>
          <w:iCs/>
          <w:color w:val="6B6B6B"/>
          <w:sz w:val="18"/>
          <w:szCs w:val="18"/>
        </w:rPr>
        <w:t xml:space="preserve">Figura 1. Desplazamiento de la vía de llegada. La categoría “IA conversacional” pasa de no existir a concentrar la mitad de las primeras consultas en seis meses; la caída se produce casi íntegramente a expensas de las redes sociales, mientras la recomendación directa se mantiene relativamente estable.</w:t>
      </w:r>
    </w:p>
    <w:p>
      <w:pPr>
        <w:spacing w:after="160" w:line="300"/>
        <w:jc w:val="both"/>
      </w:pPr>
      <w:r>
        <w:rPr>
          <w:rFonts w:ascii="Calibri" w:cs="Calibri" w:eastAsia="Calibri" w:hAnsi="Calibri"/>
          <w:color w:val="141414"/>
          <w:sz w:val="22"/>
          <w:szCs w:val="22"/>
        </w:rPr>
        <w:t xml:space="preserve">Tres lecturas se desprenden del dato. </w:t>
      </w:r>
      <w:r>
        <w:rPr>
          <w:rFonts w:ascii="Calibri" w:cs="Calibri" w:eastAsia="Calibri" w:hAnsi="Calibri"/>
          <w:b/>
          <w:bCs/>
          <w:i w:val="false"/>
          <w:iCs w:val="false"/>
          <w:color w:val="141414"/>
          <w:sz w:val="22"/>
          <w:szCs w:val="22"/>
        </w:rPr>
        <w:t xml:space="preserve">Primera</w:t>
      </w:r>
      <w:r>
        <w:rPr>
          <w:rFonts w:ascii="Calibri" w:cs="Calibri" w:eastAsia="Calibri" w:hAnsi="Calibri"/>
          <w:color w:val="141414"/>
          <w:sz w:val="22"/>
          <w:szCs w:val="22"/>
        </w:rPr>
        <w:t xml:space="preserve">: el asistente conversacional no se sumó al ecosistema, lo reordenó —pasó de cero a la posición dominante en seis meses. </w:t>
      </w:r>
      <w:r>
        <w:rPr>
          <w:rFonts w:ascii="Calibri" w:cs="Calibri" w:eastAsia="Calibri" w:hAnsi="Calibri"/>
          <w:b/>
          <w:bCs/>
          <w:i w:val="false"/>
          <w:iCs w:val="false"/>
          <w:color w:val="141414"/>
          <w:sz w:val="22"/>
          <w:szCs w:val="22"/>
        </w:rPr>
        <w:t xml:space="preserve">Segunda</w:t>
      </w:r>
      <w:r>
        <w:rPr>
          <w:rFonts w:ascii="Calibri" w:cs="Calibri" w:eastAsia="Calibri" w:hAnsi="Calibri"/>
          <w:color w:val="141414"/>
          <w:sz w:val="22"/>
          <w:szCs w:val="22"/>
        </w:rPr>
        <w:t xml:space="preserve">: la pérdida se concentra en las redes sociales, que retroceden de siete a tres, mientras la recomendación directa cede sólo un punto; esto sugiere que el canal sustituido es el del </w:t>
      </w:r>
      <w:r>
        <w:rPr>
          <w:rFonts w:ascii="Calibri" w:cs="Calibri" w:eastAsia="Calibri" w:hAnsi="Calibri"/>
          <w:b w:val="false"/>
          <w:bCs w:val="false"/>
          <w:i/>
          <w:iCs/>
          <w:color w:val="141414"/>
          <w:sz w:val="22"/>
          <w:szCs w:val="22"/>
        </w:rPr>
        <w:t xml:space="preserve">descubrimiento visual</w:t>
      </w:r>
      <w:r>
        <w:rPr>
          <w:rFonts w:ascii="Calibri" w:cs="Calibri" w:eastAsia="Calibri" w:hAnsi="Calibri"/>
          <w:color w:val="141414"/>
          <w:sz w:val="22"/>
          <w:szCs w:val="22"/>
        </w:rPr>
        <w:t xml:space="preserve">, no el de la confianza interpersonal. </w:t>
      </w:r>
      <w:r>
        <w:rPr>
          <w:rFonts w:ascii="Calibri" w:cs="Calibri" w:eastAsia="Calibri" w:hAnsi="Calibri"/>
          <w:b/>
          <w:bCs/>
          <w:i w:val="false"/>
          <w:iCs w:val="false"/>
          <w:color w:val="141414"/>
          <w:sz w:val="22"/>
          <w:szCs w:val="22"/>
        </w:rPr>
        <w:t xml:space="preserve">Tercera</w:t>
      </w:r>
      <w:r>
        <w:rPr>
          <w:rFonts w:ascii="Calibri" w:cs="Calibri" w:eastAsia="Calibri" w:hAnsi="Calibri"/>
          <w:color w:val="141414"/>
          <w:sz w:val="22"/>
          <w:szCs w:val="22"/>
        </w:rPr>
        <w:t xml:space="preserve">: la velocidad del cambio —seis meses— y la ausencia de cualquier señal de meseta hacen razonable anticipar que la proporción siga creciendo.</w:t>
      </w:r>
    </w:p>
    <w:p>
      <w:pPr>
        <w:pStyle w:val="Heading2"/>
        <w:spacing w:after="140" w:before="300"/>
      </w:pPr>
      <w:r>
        <w:rPr>
          <w:rFonts w:ascii="Georgia" w:cs="Georgia" w:eastAsia="Georgia" w:hAnsi="Georgia"/>
          <w:b/>
          <w:bCs/>
          <w:color w:val="141414"/>
          <w:sz w:val="24"/>
          <w:szCs w:val="24"/>
        </w:rPr>
        <w:t xml:space="preserve">4.2 Qué trae el paciente que llega por IA</w:t>
      </w:r>
    </w:p>
    <w:p>
      <w:pPr>
        <w:spacing w:after="160" w:line="300"/>
        <w:jc w:val="both"/>
      </w:pPr>
      <w:r>
        <w:rPr>
          <w:rFonts w:ascii="Calibri" w:cs="Calibri" w:eastAsia="Calibri" w:hAnsi="Calibri"/>
          <w:color w:val="141414"/>
          <w:sz w:val="22"/>
          <w:szCs w:val="22"/>
        </w:rPr>
        <w:t xml:space="preserve">Más relevante que la proporción es la observación cualitativa de estas consultas. El paciente que llega por un asistente conversacional presenta un patrón reconocible:</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Llega con una imagen. </w:t>
      </w:r>
      <w:r>
        <w:rPr>
          <w:rFonts w:ascii="Calibri" w:cs="Calibri" w:eastAsia="Calibri" w:hAnsi="Calibri"/>
          <w:color w:val="141414"/>
          <w:sz w:val="22"/>
          <w:szCs w:val="22"/>
        </w:rPr>
        <w:t xml:space="preserve">En una parte sustancial de los casos, el paciente abre el teléfono y muestra una imagen generada a partir de una fotografía propia, en la que su sonrisa aparece más blanca, más alineada y con proporciones modificadas. No es la foto de la sonrisa de otro: es una versión idealizada de la suya.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Llega con vocabulario técnico. </w:t>
      </w:r>
      <w:r>
        <w:rPr>
          <w:rFonts w:ascii="Calibri" w:cs="Calibri" w:eastAsia="Calibri" w:hAnsi="Calibri"/>
          <w:color w:val="141414"/>
          <w:sz w:val="22"/>
          <w:szCs w:val="22"/>
        </w:rPr>
        <w:t xml:space="preserve">Aparecen términos que antes no formaban parte de la consulta espontánea: proporción, simetría, línea media, luminosidad, forma del borde incisal. El asistente funcionó como una instancia previa de alfabetización estética.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Llega con una pregunta cerrada. </w:t>
      </w:r>
      <w:r>
        <w:rPr>
          <w:rFonts w:ascii="Calibri" w:cs="Calibri" w:eastAsia="Calibri" w:hAnsi="Calibri"/>
          <w:color w:val="141414"/>
          <w:sz w:val="22"/>
          <w:szCs w:val="22"/>
        </w:rPr>
        <w:t xml:space="preserve">La demanda no es exploratoria. Es una verificación: </w:t>
      </w:r>
      <w:r>
        <w:rPr>
          <w:rFonts w:ascii="Calibri" w:cs="Calibri" w:eastAsia="Calibri" w:hAnsi="Calibri"/>
          <w:b w:val="false"/>
          <w:bCs w:val="false"/>
          <w:i/>
          <w:iCs/>
          <w:color w:val="141414"/>
          <w:sz w:val="22"/>
          <w:szCs w:val="22"/>
        </w:rPr>
        <w:t xml:space="preserve">“¿esto se puede lograr?”</w:t>
      </w:r>
      <w:r>
        <w:rPr>
          <w:rFonts w:ascii="Calibri" w:cs="Calibri" w:eastAsia="Calibri" w:hAnsi="Calibri"/>
          <w:color w:val="141414"/>
          <w:sz w:val="22"/>
          <w:szCs w:val="22"/>
        </w:rPr>
        <w:t xml:space="preserve">. El paciente ya decidió qué quiere; viene a confirmar si es posible y con quién.</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Llega con criterio de selección ya formado. </w:t>
      </w:r>
      <w:r>
        <w:rPr>
          <w:rFonts w:ascii="Calibri" w:cs="Calibri" w:eastAsia="Calibri" w:hAnsi="Calibri"/>
          <w:color w:val="141414"/>
          <w:sz w:val="22"/>
          <w:szCs w:val="22"/>
        </w:rPr>
        <w:t xml:space="preserve">Con frecuencia el mismo asistente intervino en la elección del profesional: el paciente preguntó dónde tratarse, qué material elegir o cómo distinguir un buen trabajo, y llegó a la consulta con un marco de comparación ya construido.</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Llega con una expectativa temporal comprimida. </w:t>
      </w:r>
      <w:r>
        <w:rPr>
          <w:rFonts w:ascii="Calibri" w:cs="Calibri" w:eastAsia="Calibri" w:hAnsi="Calibri"/>
          <w:color w:val="141414"/>
          <w:sz w:val="22"/>
          <w:szCs w:val="22"/>
        </w:rPr>
        <w:t xml:space="preserve">Quien vio el resultado antes de entrar tiende a preguntar por plazos en la primera visita. La pregunta por el tiempo aparece más temprano y con más peso que en el paciente que llegaba por descubrimiento visual.</w:t>
      </w:r>
    </w:p>
    <w:p>
      <w:pPr>
        <w:spacing w:after="120"/>
      </w:pPr>
      <w:r>
        <w:t xml:space="preserve"/>
      </w:r>
    </w:p>
    <w:p>
      <w:pPr>
        <w:pStyle w:val="Heading2"/>
        <w:spacing w:after="140" w:before="300"/>
      </w:pPr>
      <w:r>
        <w:rPr>
          <w:rFonts w:ascii="Georgia" w:cs="Georgia" w:eastAsia="Georgia" w:hAnsi="Georgia"/>
          <w:b/>
          <w:bCs/>
          <w:color w:val="141414"/>
          <w:sz w:val="24"/>
          <w:szCs w:val="24"/>
        </w:rPr>
        <w:t xml:space="preserve">4.3 Documentación fotográfica</w:t>
      </w:r>
    </w:p>
    <w:p>
      <w:pPr>
        <w:spacing w:after="160" w:line="300"/>
        <w:jc w:val="both"/>
      </w:pPr>
      <w:r>
        <w:rPr>
          <w:rFonts w:ascii="Calibri" w:cs="Calibri" w:eastAsia="Calibri" w:hAnsi="Calibri"/>
          <w:color w:val="141414"/>
          <w:sz w:val="22"/>
          <w:szCs w:val="22"/>
        </w:rPr>
        <w:t xml:space="preserve">Las Figuras 2 y 3 documentan el momento clínico descripto: la imagen generada por el paciente puesta sobre la mesa de trabajo y contrastada, en la misma sesión, con el estudio real de su boca.</w:t>
      </w:r>
    </w:p>
    <w:tbl>
      <w:tblPr>
        <w:tblW w:type="dxa" w:w="9070"/>
        <w:tblBorders>
          <w:top w:val="dashed" w:color="C9A96E" w:sz="6"/>
          <w:left w:val="dashed" w:color="C9A96E" w:sz="6"/>
          <w:bottom w:val="dashed" w:color="C9A96E" w:sz="6"/>
          <w:right w:val="dashed" w:color="C9A96E" w:sz="6"/>
          <w:insideH w:val="none" w:color="FFFFFF" w:sz="0"/>
          <w:insideV w:val="none" w:color="FFFFFF" w:sz="0"/>
        </w:tblBorders>
      </w:tblPr>
      <w:tblGrid>
        <w:gridCol w:w="9070"/>
      </w:tblGrid>
      <w:tr>
        <w:trPr>
          <w:trHeight w:val="2900" w:hRule="atLeast"/>
        </w:trPr>
        <w:tc>
          <w:tcPr>
            <w:tcW w:type="dxa" w:w="9070"/>
            <w:shd w:fill="FBF9F5" w:color="auto" w:val="clear"/>
            <w:tcMar>
              <w:top w:type="dxa" w:w="500"/>
              <w:left w:type="dxa" w:w="400"/>
              <w:bottom w:type="dxa" w:w="500"/>
              <w:right w:type="dxa" w:w="400"/>
            </w:tcMar>
            <w:vAlign w:val="center"/>
          </w:tcPr>
          <w:p>
            <w:pPr>
              <w:spacing w:after="120"/>
              <w:jc w:val="center"/>
            </w:pPr>
            <w:r>
              <w:rPr>
                <w:rFonts w:ascii="Calibri" w:cs="Calibri" w:eastAsia="Calibri" w:hAnsi="Calibri"/>
                <w:b/>
                <w:bCs/>
                <w:caps/>
                <w:color w:val="141414"/>
                <w:sz w:val="22"/>
                <w:szCs w:val="22"/>
              </w:rPr>
              <w:t xml:space="preserve">Figura 2 — reservado para fotografía</w:t>
            </w:r>
          </w:p>
          <w:p>
            <w:pPr>
              <w:spacing w:after="0" w:line="280"/>
              <w:jc w:val="center"/>
            </w:pPr>
            <w:r>
              <w:rPr>
                <w:rFonts w:ascii="Calibri" w:cs="Calibri" w:eastAsia="Calibri" w:hAnsi="Calibri"/>
                <w:i/>
                <w:iCs/>
                <w:color w:val="6B6B6B"/>
                <w:sz w:val="19"/>
                <w:szCs w:val="19"/>
              </w:rPr>
              <w:t xml:space="preserve">Insertar aquí la fotografía en consultorio. Sugerencia de encuadre: el paciente muestra en su teléfono la imagen generada por IA y el profesional la observa junto a él. Para reemplazar: hacer clic sobre este marco, borrarlo e insertar la imagen (Insertar › Imagen).</w:t>
            </w:r>
          </w:p>
        </w:tc>
      </w:tr>
    </w:tbl>
    <w:p>
      <w:pPr>
        <w:spacing w:after="260" w:before="100" w:line="260"/>
        <w:jc w:val="left"/>
      </w:pPr>
      <w:r>
        <w:rPr>
          <w:rFonts w:ascii="Calibri" w:cs="Calibri" w:eastAsia="Calibri" w:hAnsi="Calibri"/>
          <w:i/>
          <w:iCs/>
          <w:color w:val="6B6B6B"/>
          <w:sz w:val="18"/>
          <w:szCs w:val="18"/>
        </w:rPr>
        <w:t xml:space="preserve">Figura 2. El punto de partida de la nueva primera consulta: el paciente presenta la imagen de su sonrisa idealizada generada por un asistente conversacional. El material no tiene valor diagnóstico, pero sí un valor comunicacional alto: explicita la expectativa desde el primer minuto.</w:t>
      </w:r>
    </w:p>
    <w:p>
      <w:pPr>
        <w:spacing w:after="60"/>
      </w:pPr>
      <w:r>
        <w:t xml:space="preserve"/>
      </w:r>
    </w:p>
    <w:tbl>
      <w:tblPr>
        <w:tblW w:type="dxa" w:w="9070"/>
        <w:tblBorders>
          <w:top w:val="dashed" w:color="C9A96E" w:sz="6"/>
          <w:left w:val="dashed" w:color="C9A96E" w:sz="6"/>
          <w:bottom w:val="dashed" w:color="C9A96E" w:sz="6"/>
          <w:right w:val="dashed" w:color="C9A96E" w:sz="6"/>
          <w:insideH w:val="none" w:color="FFFFFF" w:sz="0"/>
          <w:insideV w:val="none" w:color="FFFFFF" w:sz="0"/>
        </w:tblBorders>
      </w:tblPr>
      <w:tblGrid>
        <w:gridCol w:w="9070"/>
      </w:tblGrid>
      <w:tr>
        <w:trPr>
          <w:trHeight w:val="2900" w:hRule="atLeast"/>
        </w:trPr>
        <w:tc>
          <w:tcPr>
            <w:tcW w:type="dxa" w:w="9070"/>
            <w:shd w:fill="FBF9F5" w:color="auto" w:val="clear"/>
            <w:tcMar>
              <w:top w:type="dxa" w:w="500"/>
              <w:left w:type="dxa" w:w="400"/>
              <w:bottom w:type="dxa" w:w="500"/>
              <w:right w:type="dxa" w:w="400"/>
            </w:tcMar>
            <w:vAlign w:val="center"/>
          </w:tcPr>
          <w:p>
            <w:pPr>
              <w:spacing w:after="120"/>
              <w:jc w:val="center"/>
            </w:pPr>
            <w:r>
              <w:rPr>
                <w:rFonts w:ascii="Calibri" w:cs="Calibri" w:eastAsia="Calibri" w:hAnsi="Calibri"/>
                <w:b/>
                <w:bCs/>
                <w:caps/>
                <w:color w:val="141414"/>
                <w:sz w:val="22"/>
                <w:szCs w:val="22"/>
              </w:rPr>
              <w:t xml:space="preserve">Figura 3 — reservado para fotografía</w:t>
            </w:r>
          </w:p>
          <w:p>
            <w:pPr>
              <w:spacing w:after="0" w:line="280"/>
              <w:jc w:val="center"/>
            </w:pPr>
            <w:r>
              <w:rPr>
                <w:rFonts w:ascii="Calibri" w:cs="Calibri" w:eastAsia="Calibri" w:hAnsi="Calibri"/>
                <w:i/>
                <w:iCs/>
                <w:color w:val="6B6B6B"/>
                <w:sz w:val="19"/>
                <w:szCs w:val="19"/>
              </w:rPr>
              <w:t xml:space="preserve">Insertar aquí la segunda fotografía. Sugerencia de encuadre: el profesional explicando sobre pantalla el estudio del caso —fotografía clínica, diseño digital o mock-up— junto a la imagen que trajo el paciente. Para reemplazar: hacer clic sobre este marco, borrarlo e insertar la imagen (Insertar › Imagen).</w:t>
            </w:r>
          </w:p>
        </w:tc>
      </w:tr>
    </w:tbl>
    <w:p>
      <w:pPr>
        <w:spacing w:after="260" w:before="100" w:line="260"/>
        <w:jc w:val="left"/>
      </w:pPr>
      <w:r>
        <w:rPr>
          <w:rFonts w:ascii="Calibri" w:cs="Calibri" w:eastAsia="Calibri" w:hAnsi="Calibri"/>
          <w:i/>
          <w:iCs/>
          <w:color w:val="6B6B6B"/>
          <w:sz w:val="18"/>
          <w:szCs w:val="18"/>
        </w:rPr>
        <w:t xml:space="preserve">Figura 3. La traducción clínica: la referencia traída por el paciente se contrasta con el estudio fotográfico, el análisis facial y el diseño verificado sobre su anatomía real. Es el paso que convierte una expectativa en un plan de tratamiento.</w:t>
      </w:r>
    </w:p>
    <w:p>
      <w:pPr>
        <w:spacing w:after="120"/>
      </w:pPr>
      <w:r>
        <w:t xml:space="preserve"/>
      </w:r>
    </w:p>
    <w:p>
      <w:pPr>
        <w:pStyle w:val="Heading1"/>
        <w:spacing w:after="180" w:before="400"/>
      </w:pPr>
      <w:r>
        <w:rPr>
          <w:rFonts w:ascii="Georgia" w:cs="Georgia" w:eastAsia="Georgia" w:hAnsi="Georgia"/>
          <w:b/>
          <w:bCs/>
          <w:color w:val="141414"/>
          <w:sz w:val="28"/>
          <w:szCs w:val="28"/>
        </w:rPr>
        <w:t xml:space="preserve">5. Discusión</w:t>
      </w:r>
    </w:p>
    <w:p>
      <w:pPr>
        <w:pStyle w:val="Heading2"/>
        <w:spacing w:after="140" w:before="300"/>
      </w:pPr>
      <w:r>
        <w:rPr>
          <w:rFonts w:ascii="Georgia" w:cs="Georgia" w:eastAsia="Georgia" w:hAnsi="Georgia"/>
          <w:b/>
          <w:bCs/>
          <w:color w:val="141414"/>
          <w:sz w:val="24"/>
          <w:szCs w:val="24"/>
        </w:rPr>
        <w:t xml:space="preserve">5.1 De descubrir a verificar: el cambio de intención</w:t>
      </w:r>
    </w:p>
    <w:p>
      <w:pPr>
        <w:spacing w:after="160" w:line="300"/>
        <w:jc w:val="both"/>
      </w:pPr>
      <w:r>
        <w:rPr>
          <w:rFonts w:ascii="Calibri" w:cs="Calibri" w:eastAsia="Calibri" w:hAnsi="Calibri"/>
          <w:color w:val="141414"/>
          <w:sz w:val="22"/>
          <w:szCs w:val="22"/>
        </w:rPr>
        <w:t xml:space="preserve">La diferencia entre una red social y un asistente conversacional no es de formato, es de </w:t>
      </w:r>
      <w:r>
        <w:rPr>
          <w:rFonts w:ascii="Calibri" w:cs="Calibri" w:eastAsia="Calibri" w:hAnsi="Calibri"/>
          <w:b w:val="false"/>
          <w:bCs w:val="false"/>
          <w:i/>
          <w:iCs/>
          <w:color w:val="141414"/>
          <w:sz w:val="22"/>
          <w:szCs w:val="22"/>
        </w:rPr>
        <w:t xml:space="preserve">intención</w:t>
      </w:r>
      <w:r>
        <w:rPr>
          <w:rFonts w:ascii="Calibri" w:cs="Calibri" w:eastAsia="Calibri" w:hAnsi="Calibri"/>
          <w:color w:val="141414"/>
          <w:sz w:val="22"/>
          <w:szCs w:val="22"/>
        </w:rPr>
        <w:t xml:space="preserve">. La red social opera sobre un usuario que no estaba buscando: el algoritmo interrumpe y propone. El asistente conversacional, en cambio, sólo responde a quien pregunta. Todo paciente que llega por esa vía ya había formulado la pregunta.</w:t>
      </w:r>
    </w:p>
    <w:p>
      <w:pPr>
        <w:spacing w:after="160" w:line="300"/>
        <w:jc w:val="both"/>
      </w:pPr>
      <w:r>
        <w:rPr>
          <w:rFonts w:ascii="Calibri" w:cs="Calibri" w:eastAsia="Calibri" w:hAnsi="Calibri"/>
          <w:color w:val="141414"/>
          <w:sz w:val="22"/>
          <w:szCs w:val="22"/>
        </w:rPr>
        <w:t xml:space="preserve">Esto explica por qué la sustitución se produjo a expensas de las redes sociales y no de la recomendación: el asistente reemplazó la función de </w:t>
      </w:r>
      <w:r>
        <w:rPr>
          <w:rFonts w:ascii="Calibri" w:cs="Calibri" w:eastAsia="Calibri" w:hAnsi="Calibri"/>
          <w:b w:val="false"/>
          <w:bCs w:val="false"/>
          <w:i/>
          <w:iCs/>
          <w:color w:val="141414"/>
          <w:sz w:val="22"/>
          <w:szCs w:val="22"/>
        </w:rPr>
        <w:t xml:space="preserve">descubrimiento e investigación</w:t>
      </w:r>
      <w:r>
        <w:rPr>
          <w:rFonts w:ascii="Calibri" w:cs="Calibri" w:eastAsia="Calibri" w:hAnsi="Calibri"/>
          <w:color w:val="141414"/>
          <w:sz w:val="22"/>
          <w:szCs w:val="22"/>
        </w:rPr>
        <w:t xml:space="preserve">, no la de </w:t>
      </w:r>
      <w:r>
        <w:rPr>
          <w:rFonts w:ascii="Calibri" w:cs="Calibri" w:eastAsia="Calibri" w:hAnsi="Calibri"/>
          <w:b w:val="false"/>
          <w:bCs w:val="false"/>
          <w:i/>
          <w:iCs/>
          <w:color w:val="141414"/>
          <w:sz w:val="22"/>
          <w:szCs w:val="22"/>
        </w:rPr>
        <w:t xml:space="preserve">confianza</w:t>
      </w:r>
      <w:r>
        <w:rPr>
          <w:rFonts w:ascii="Calibri" w:cs="Calibri" w:eastAsia="Calibri" w:hAnsi="Calibri"/>
          <w:color w:val="141414"/>
          <w:sz w:val="22"/>
          <w:szCs w:val="22"/>
        </w:rPr>
        <w:t xml:space="preserve">. La recomendación de un paciente tratado sigue siendo la vía de mayor conversión, porque aporta algo que ninguna tecnología sustituye: la evidencia de un resultado en alguien conocido. Que esa categoría sólo haya cedido un punto lo confirma.</w:t>
      </w:r>
    </w:p>
    <w:p>
      <w:pPr>
        <w:spacing w:after="160" w:line="300"/>
        <w:jc w:val="both"/>
      </w:pPr>
      <w:r>
        <w:rPr>
          <w:rFonts w:ascii="Calibri" w:cs="Calibri" w:eastAsia="Calibri" w:hAnsi="Calibri"/>
          <w:color w:val="141414"/>
          <w:sz w:val="22"/>
          <w:szCs w:val="22"/>
        </w:rPr>
        <w:t xml:space="preserve">La consecuencia práctica es que la primera consulta comienza mucho más adelante en el recorrido. El paciente ya atravesó la etapa de exploración. Lo que necesita del profesional no es información general, sino </w:t>
      </w:r>
      <w:r>
        <w:rPr>
          <w:rFonts w:ascii="Calibri" w:cs="Calibri" w:eastAsia="Calibri" w:hAnsi="Calibri"/>
          <w:b w:val="false"/>
          <w:bCs w:val="false"/>
          <w:i/>
          <w:iCs/>
          <w:color w:val="141414"/>
          <w:sz w:val="22"/>
          <w:szCs w:val="22"/>
        </w:rPr>
        <w:t xml:space="preserve">juicio clínico sobre su caso</w:t>
      </w:r>
      <w:r>
        <w:rPr>
          <w:rFonts w:ascii="Calibri" w:cs="Calibri" w:eastAsia="Calibri" w:hAnsi="Calibri"/>
          <w:color w:val="141414"/>
          <w:sz w:val="22"/>
          <w:szCs w:val="22"/>
        </w:rPr>
        <w:t xml:space="preserve">: qué de lo que vio es alcanzable, qué no, a qué costo biológico y en cuánto tiempo.</w:t>
      </w:r>
    </w:p>
    <w:p>
      <w:pPr>
        <w:pStyle w:val="Heading2"/>
        <w:spacing w:after="140" w:before="300"/>
      </w:pPr>
      <w:r>
        <w:rPr>
          <w:rFonts w:ascii="Georgia" w:cs="Georgia" w:eastAsia="Georgia" w:hAnsi="Georgia"/>
          <w:b/>
          <w:bCs/>
          <w:color w:val="141414"/>
          <w:sz w:val="24"/>
          <w:szCs w:val="24"/>
        </w:rPr>
        <w:t xml:space="preserve">5.2 La imagen generada: alto valor comunicacional, valor diagnóstico nulo</w:t>
      </w:r>
    </w:p>
    <w:p>
      <w:pPr>
        <w:spacing w:after="160" w:line="300"/>
        <w:jc w:val="both"/>
      </w:pPr>
      <w:r>
        <w:rPr>
          <w:rFonts w:ascii="Calibri" w:cs="Calibri" w:eastAsia="Calibri" w:hAnsi="Calibri"/>
          <w:color w:val="141414"/>
          <w:sz w:val="22"/>
          <w:szCs w:val="22"/>
        </w:rPr>
        <w:t xml:space="preserve">Conviene ser preciso sobre qué es exactamente esa imagen. Un modelo generativo produce una representación bidimensional plausible a partir de patrones estéticos aprendidos. No conoce el espesor de esmalte remanente, la posición radicular, el biotipo gingival, el color del sustrato dentinario, la dimensión vertical, la guía anterior ni la fonética del paciente. Modifica píxeles, no tejidos. Una imagen puede blanquear un diente severamente discrómico sin ningún costo; en boca, ese mismo resultado depende del sustrato y puede exigir un espesor cerámico que el espacio disponible no admite.</w:t>
      </w:r>
    </w:p>
    <w:p>
      <w:pPr>
        <w:spacing w:after="160" w:line="300"/>
        <w:jc w:val="both"/>
      </w:pPr>
      <w:r>
        <w:rPr>
          <w:rFonts w:ascii="Calibri" w:cs="Calibri" w:eastAsia="Calibri" w:hAnsi="Calibri"/>
          <w:color w:val="141414"/>
          <w:sz w:val="22"/>
          <w:szCs w:val="22"/>
        </w:rPr>
        <w:t xml:space="preserve">Decir que la imagen no tiene valor diagnóstico no equivale a descartarla. Tiene un valor comunicacional considerable, y desaprovecharlo sería un error clínico. La expectativa estética siempre existió; lo nuevo es que ahora llega </w:t>
      </w:r>
      <w:r>
        <w:rPr>
          <w:rFonts w:ascii="Calibri" w:cs="Calibri" w:eastAsia="Calibri" w:hAnsi="Calibri"/>
          <w:b w:val="false"/>
          <w:bCs w:val="false"/>
          <w:i/>
          <w:iCs/>
          <w:color w:val="141414"/>
          <w:sz w:val="22"/>
          <w:szCs w:val="22"/>
        </w:rPr>
        <w:t xml:space="preserve">explicitada y visible</w:t>
      </w:r>
      <w:r>
        <w:rPr>
          <w:rFonts w:ascii="Calibri" w:cs="Calibri" w:eastAsia="Calibri" w:hAnsi="Calibri"/>
          <w:color w:val="141414"/>
          <w:sz w:val="22"/>
          <w:szCs w:val="22"/>
        </w:rPr>
        <w:t xml:space="preserve"> desde el primer minuto, en lugar de permanecer implícita hasta la prueba de las restauraciones —que es históricamente el peor momento para descubrirla. La Tabla 2 resume el reparto de funciones.</w:t>
      </w:r>
    </w:p>
    <w:tbl>
      <w:tblPr>
        <w:tblW w:type="dxa" w:w="9070"/>
        <w:tblBorders>
          <w:top w:val="single" w:color="DDD6C8" w:sz="2"/>
          <w:left w:val="none" w:color="FFFFFF" w:sz="0"/>
          <w:bottom w:val="single" w:color="DDD6C8" w:sz="2"/>
          <w:right w:val="none" w:color="FFFFFF" w:sz="0"/>
          <w:insideH w:val="single" w:color="DDD6C8" w:sz="2"/>
          <w:insideV w:val="single" w:color="DDD6C8" w:sz="2"/>
        </w:tblBorders>
      </w:tblPr>
      <w:tblGrid>
        <w:gridCol w:w="4535"/>
        <w:gridCol w:w="4535"/>
      </w:tblGrid>
      <w:tr>
        <w:trPr>
          <w:tblHeader/>
        </w:trPr>
        <w:tc>
          <w:tcPr>
            <w:tcW w:type="dxa" w:w="4535"/>
            <w:shd w:fill="141414" w:color="auto" w:val="clear"/>
            <w:tcMar>
              <w:top w:type="dxa" w:w="140"/>
              <w:left w:type="dxa" w:w="180"/>
              <w:bottom w:type="dxa" w:w="140"/>
              <w:right w:type="dxa" w:w="180"/>
            </w:tcMar>
          </w:tcPr>
          <w:p>
            <w:pPr>
              <w:jc w:val="left"/>
            </w:pPr>
            <w:r>
              <w:rPr>
                <w:rFonts w:ascii="Calibri" w:cs="Calibri" w:eastAsia="Calibri" w:hAnsi="Calibri"/>
                <w:b/>
                <w:bCs/>
                <w:color w:val="FFFFFF"/>
                <w:sz w:val="20"/>
                <w:szCs w:val="20"/>
              </w:rPr>
              <w:t xml:space="preserve">Lo que resuelve la imagen generada por IA</w:t>
            </w:r>
          </w:p>
        </w:tc>
        <w:tc>
          <w:tcPr>
            <w:tcW w:type="dxa" w:w="4535"/>
            <w:shd w:fill="141414" w:color="auto" w:val="clear"/>
            <w:tcMar>
              <w:top w:type="dxa" w:w="140"/>
              <w:left w:type="dxa" w:w="180"/>
              <w:bottom w:type="dxa" w:w="140"/>
              <w:right w:type="dxa" w:w="180"/>
            </w:tcMar>
          </w:tcPr>
          <w:p>
            <w:pPr>
              <w:jc w:val="left"/>
            </w:pPr>
            <w:r>
              <w:rPr>
                <w:rFonts w:ascii="Calibri" w:cs="Calibri" w:eastAsia="Calibri" w:hAnsi="Calibri"/>
                <w:b/>
                <w:bCs/>
                <w:color w:val="FFFFFF"/>
                <w:sz w:val="20"/>
                <w:szCs w:val="20"/>
              </w:rPr>
              <w:t xml:space="preserve">Lo que sólo resuelve el estudio clínico</w:t>
            </w:r>
          </w:p>
        </w:tc>
      </w:tr>
      <w:tr>
        <w:tc>
          <w:tcPr>
            <w:tcW w:type="dxa" w:w="4535"/>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Traduce un deseo difuso (“quiero verme mejor”) en una referencia visual concreta.</w:t>
            </w:r>
          </w:p>
        </w:tc>
        <w:tc>
          <w:tcPr>
            <w:tcW w:type="dxa" w:w="4535"/>
            <w:shd w:fill="F5F0E8"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Determina si ese resultado es biológicamente alcanzable en ese paciente.</w:t>
            </w:r>
          </w:p>
        </w:tc>
      </w:tr>
      <w:tr>
        <w:tc>
          <w:tcPr>
            <w:tcW w:type="dxa" w:w="4535"/>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Muestra una forma, un color y una alineación deseados.</w:t>
            </w:r>
          </w:p>
        </w:tc>
        <w:tc>
          <w:tcPr>
            <w:tcW w:type="dxa" w:w="4535"/>
            <w:shd w:fill="F5F0E8"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Mide el espacio protésico disponible, el grosor de esmalte y la posición dentaria real.</w:t>
            </w:r>
          </w:p>
        </w:tc>
      </w:tr>
      <w:tr>
        <w:tc>
          <w:tcPr>
            <w:tcW w:type="dxa" w:w="4535"/>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Ordena el vocabulario del paciente: proporción, simetría, luminosidad.</w:t>
            </w:r>
          </w:p>
        </w:tc>
        <w:tc>
          <w:tcPr>
            <w:tcW w:type="dxa" w:w="4535"/>
            <w:shd w:fill="F5F0E8"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Evalúa biotipo y arquitectura gingival, línea de sonrisa y exposición del labio.</w:t>
            </w:r>
          </w:p>
        </w:tc>
      </w:tr>
      <w:tr>
        <w:tc>
          <w:tcPr>
            <w:tcW w:type="dxa" w:w="4535"/>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Anticipa una expectativa estética.</w:t>
            </w:r>
          </w:p>
        </w:tc>
        <w:tc>
          <w:tcPr>
            <w:tcW w:type="dxa" w:w="4535"/>
            <w:shd w:fill="F5F0E8"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Verifica oclusión, guía anterior, hábitos parafuncionales y fonética.</w:t>
            </w:r>
          </w:p>
        </w:tc>
      </w:tr>
      <w:tr>
        <w:tc>
          <w:tcPr>
            <w:tcW w:type="dxa" w:w="4535"/>
            <w:shd w:fill="FFFFFF"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Produce una imagen bidimensional sin restricciones físicas.</w:t>
            </w:r>
          </w:p>
        </w:tc>
        <w:tc>
          <w:tcPr>
            <w:tcW w:type="dxa" w:w="4535"/>
            <w:shd w:fill="F5F0E8" w:color="auto" w:val="clear"/>
            <w:tcMar>
              <w:top w:type="dxa" w:w="130"/>
              <w:left w:type="dxa" w:w="180"/>
              <w:bottom w:type="dxa" w:w="130"/>
              <w:right w:type="dxa" w:w="180"/>
            </w:tcMar>
          </w:tcPr>
          <w:p>
            <w:pPr>
              <w:jc w:val="left"/>
            </w:pPr>
            <w:r>
              <w:rPr>
                <w:rFonts w:ascii="Calibri" w:cs="Calibri" w:eastAsia="Calibri" w:hAnsi="Calibri"/>
                <w:b w:val="false"/>
                <w:bCs w:val="false"/>
                <w:color w:val="141414"/>
                <w:sz w:val="20"/>
                <w:szCs w:val="20"/>
              </w:rPr>
              <w:t xml:space="preserve">Produce un ensayo tridimensional en boca —el mock-up— que el paciente puede ver, morder y hablar.</w:t>
            </w:r>
          </w:p>
        </w:tc>
      </w:tr>
    </w:tbl>
    <w:p>
      <w:pPr>
        <w:spacing w:after="260" w:before="100" w:line="260"/>
        <w:jc w:val="left"/>
      </w:pPr>
      <w:r>
        <w:rPr>
          <w:rFonts w:ascii="Calibri" w:cs="Calibri" w:eastAsia="Calibri" w:hAnsi="Calibri"/>
          <w:i/>
          <w:iCs/>
          <w:color w:val="6B6B6B"/>
          <w:sz w:val="18"/>
          <w:szCs w:val="18"/>
        </w:rPr>
        <w:t xml:space="preserve">Tabla 2. Reparto de funciones entre la imagen generada por el paciente y el estudio clínico. La primera columna describe una expectativa; la segunda, las condiciones de su viabilidad.</w:t>
      </w:r>
    </w:p>
    <w:p>
      <w:pPr>
        <w:pStyle w:val="Heading2"/>
        <w:spacing w:after="140" w:before="300"/>
      </w:pPr>
      <w:r>
        <w:rPr>
          <w:rFonts w:ascii="Georgia" w:cs="Georgia" w:eastAsia="Georgia" w:hAnsi="Georgia"/>
          <w:b/>
          <w:bCs/>
          <w:color w:val="141414"/>
          <w:sz w:val="24"/>
          <w:szCs w:val="24"/>
        </w:rPr>
        <w:t xml:space="preserve">5.3 Protocolo propuesto: del render al ensayo verificable</w:t>
      </w:r>
    </w:p>
    <w:p>
      <w:pPr>
        <w:spacing w:after="160" w:line="300"/>
        <w:jc w:val="both"/>
      </w:pPr>
      <w:r>
        <w:rPr>
          <w:rFonts w:ascii="Calibri" w:cs="Calibri" w:eastAsia="Calibri" w:hAnsi="Calibri"/>
          <w:color w:val="141414"/>
          <w:sz w:val="22"/>
          <w:szCs w:val="22"/>
        </w:rPr>
        <w:t xml:space="preserve">Sobre la base de lo observado, esta práctica adoptó una secuencia de cinco pasos para la primera consulta del paciente que llega con una imagen generada. Su objetivo es aprovechar el material sin validarlo como plan de tratamiento.</w:t>
      </w:r>
    </w:p>
    <w:p>
      <w:pPr>
        <w:pStyle w:val="ListParagraph"/>
        <w:numPr>
          <w:ilvl w:val="0"/>
          <w:numId w:val="3"/>
        </w:numPr>
        <w:spacing w:after="100" w:line="290"/>
        <w:jc w:val="both"/>
      </w:pPr>
      <w:r>
        <w:rPr>
          <w:rFonts w:ascii="Calibri" w:cs="Calibri" w:eastAsia="Calibri" w:hAnsi="Calibri"/>
          <w:b/>
          <w:bCs/>
          <w:i w:val="false"/>
          <w:iCs w:val="false"/>
          <w:color w:val="141414"/>
          <w:sz w:val="22"/>
          <w:szCs w:val="22"/>
        </w:rPr>
        <w:t xml:space="preserve">Recibir la imagen sin corregirla. </w:t>
      </w:r>
      <w:r>
        <w:rPr>
          <w:rFonts w:ascii="Calibri" w:cs="Calibri" w:eastAsia="Calibri" w:hAnsi="Calibri"/>
          <w:color w:val="141414"/>
          <w:sz w:val="22"/>
          <w:szCs w:val="22"/>
        </w:rPr>
        <w:t xml:space="preserve">Pedir al paciente que muestre y explique qué le gusta de ella. La información valiosa no es la imagen en sí, sino qué atributo específico eligió: el color, la alineación, el tamaño, la forma del borde. Ese atributo es la demanda real.</w:t>
      </w:r>
    </w:p>
    <w:p>
      <w:pPr>
        <w:pStyle w:val="ListParagraph"/>
        <w:numPr>
          <w:ilvl w:val="0"/>
          <w:numId w:val="3"/>
        </w:numPr>
        <w:spacing w:after="100" w:line="290"/>
        <w:jc w:val="both"/>
      </w:pPr>
      <w:r>
        <w:rPr>
          <w:rFonts w:ascii="Calibri" w:cs="Calibri" w:eastAsia="Calibri" w:hAnsi="Calibri"/>
          <w:b/>
          <w:bCs/>
          <w:i w:val="false"/>
          <w:iCs w:val="false"/>
          <w:color w:val="141414"/>
          <w:sz w:val="22"/>
          <w:szCs w:val="22"/>
        </w:rPr>
        <w:t xml:space="preserve">Nombrar explícitamente su naturaleza. </w:t>
      </w:r>
      <w:r>
        <w:rPr>
          <w:rFonts w:ascii="Calibri" w:cs="Calibri" w:eastAsia="Calibri" w:hAnsi="Calibri"/>
          <w:color w:val="141414"/>
          <w:sz w:val="22"/>
          <w:szCs w:val="22"/>
        </w:rPr>
        <w:t xml:space="preserve">Explicar, sin desvalorizarla, que se trata de una simulación gráfica y no de una previsión clínica. La formulación importa: no “esto no sirve”, sino “esto me dice con precisión qué buscás; ahora vamos a ver qué de esto es posible en tu boca”.</w:t>
      </w:r>
    </w:p>
    <w:p>
      <w:pPr>
        <w:pStyle w:val="ListParagraph"/>
        <w:numPr>
          <w:ilvl w:val="0"/>
          <w:numId w:val="3"/>
        </w:numPr>
        <w:spacing w:after="100" w:line="290"/>
        <w:jc w:val="both"/>
      </w:pPr>
      <w:r>
        <w:rPr>
          <w:rFonts w:ascii="Calibri" w:cs="Calibri" w:eastAsia="Calibri" w:hAnsi="Calibri"/>
          <w:b/>
          <w:bCs/>
          <w:i w:val="false"/>
          <w:iCs w:val="false"/>
          <w:color w:val="141414"/>
          <w:sz w:val="22"/>
          <w:szCs w:val="22"/>
        </w:rPr>
        <w:t xml:space="preserve">Contrastar contra el estudio real. </w:t>
      </w:r>
      <w:r>
        <w:rPr>
          <w:rFonts w:ascii="Calibri" w:cs="Calibri" w:eastAsia="Calibri" w:hAnsi="Calibri"/>
          <w:color w:val="141414"/>
          <w:sz w:val="22"/>
          <w:szCs w:val="22"/>
        </w:rPr>
        <w:t xml:space="preserve">Fotografía clínica protocolizada, análisis facial y dentolabial, registro del biotipo gingival, evaluación oclusal y de la guía anterior, y estudio radiográfico. Aquí se determina la distancia entre la imagen y la anatomía.</w:t>
      </w:r>
    </w:p>
    <w:p>
      <w:pPr>
        <w:pStyle w:val="ListParagraph"/>
        <w:numPr>
          <w:ilvl w:val="0"/>
          <w:numId w:val="3"/>
        </w:numPr>
        <w:spacing w:after="100" w:line="290"/>
        <w:jc w:val="both"/>
      </w:pPr>
      <w:r>
        <w:rPr>
          <w:rFonts w:ascii="Calibri" w:cs="Calibri" w:eastAsia="Calibri" w:hAnsi="Calibri"/>
          <w:b/>
          <w:bCs/>
          <w:i w:val="false"/>
          <w:iCs w:val="false"/>
          <w:color w:val="141414"/>
          <w:sz w:val="22"/>
          <w:szCs w:val="22"/>
        </w:rPr>
        <w:t xml:space="preserve">Traducir a un diseño verificable. </w:t>
      </w:r>
      <w:r>
        <w:rPr>
          <w:rFonts w:ascii="Calibri" w:cs="Calibri" w:eastAsia="Calibri" w:hAnsi="Calibri"/>
          <w:color w:val="141414"/>
          <w:sz w:val="22"/>
          <w:szCs w:val="22"/>
        </w:rPr>
        <w:t xml:space="preserve">Diseño de sonrisa digital y encerado diagnóstico sobre el caso real, con criterio de preparación conservadora —de mínimo desgaste, o </w:t>
      </w:r>
      <w:r>
        <w:rPr>
          <w:rFonts w:ascii="Calibri" w:cs="Calibri" w:eastAsia="Calibri" w:hAnsi="Calibri"/>
          <w:b w:val="false"/>
          <w:bCs w:val="false"/>
          <w:i/>
          <w:iCs/>
          <w:color w:val="141414"/>
          <w:sz w:val="22"/>
          <w:szCs w:val="22"/>
        </w:rPr>
        <w:t xml:space="preserve">minimal prep</w:t>
      </w:r>
      <w:r>
        <w:rPr>
          <w:rFonts w:ascii="Calibri" w:cs="Calibri" w:eastAsia="Calibri" w:hAnsi="Calibri"/>
          <w:color w:val="141414"/>
          <w:sz w:val="22"/>
          <w:szCs w:val="22"/>
        </w:rPr>
        <w:t xml:space="preserve">— siempre que las condiciones del caso lo permitan.</w:t>
      </w:r>
    </w:p>
    <w:p>
      <w:pPr>
        <w:pStyle w:val="ListParagraph"/>
        <w:numPr>
          <w:ilvl w:val="0"/>
          <w:numId w:val="3"/>
        </w:numPr>
        <w:spacing w:after="100" w:line="290"/>
        <w:jc w:val="both"/>
      </w:pPr>
      <w:r>
        <w:rPr>
          <w:rFonts w:ascii="Calibri" w:cs="Calibri" w:eastAsia="Calibri" w:hAnsi="Calibri"/>
          <w:b/>
          <w:bCs/>
          <w:i w:val="false"/>
          <w:iCs w:val="false"/>
          <w:color w:val="141414"/>
          <w:sz w:val="22"/>
          <w:szCs w:val="22"/>
        </w:rPr>
        <w:t xml:space="preserve">Validar en boca antes de cualquier acto irreversible. </w:t>
      </w:r>
      <w:r>
        <w:rPr>
          <w:rFonts w:ascii="Calibri" w:cs="Calibri" w:eastAsia="Calibri" w:hAnsi="Calibri"/>
          <w:color w:val="141414"/>
          <w:sz w:val="22"/>
          <w:szCs w:val="22"/>
        </w:rPr>
        <w:t xml:space="preserve">Mock-up intraoral o ensayo estético: el paciente ve, muerde, habla y se fotografía con el diseño propuesto. Este es el único “render” con valor clínico, porque incorpora todas las restricciones que la imagen generada ignora. La aprobación del ensayo, y no la de la imagen, es la que habilita el tratamiento.</w:t>
      </w:r>
    </w:p>
    <w:p>
      <w:pPr>
        <w:spacing w:after="160" w:line="300"/>
        <w:jc w:val="both"/>
      </w:pPr>
      <w:r>
        <w:rPr>
          <w:rFonts w:ascii="Calibri" w:cs="Calibri" w:eastAsia="Calibri" w:hAnsi="Calibri"/>
          <w:color w:val="141414"/>
          <w:sz w:val="22"/>
          <w:szCs w:val="22"/>
        </w:rPr>
        <w:t xml:space="preserve">La ventaja de esta secuencia es que desplaza la discusión desde una imagen que nadie puede garantizar hacia un objeto tridimensional que el paciente aprueba sobre sus propios dientes. Es, además, el mejor instrumento de consentimiento informado del que dispone la estética dental.</w:t>
      </w:r>
    </w:p>
    <w:p>
      <w:pPr>
        <w:pStyle w:val="Heading2"/>
        <w:spacing w:after="140" w:before="300"/>
      </w:pPr>
      <w:r>
        <w:rPr>
          <w:rFonts w:ascii="Georgia" w:cs="Georgia" w:eastAsia="Georgia" w:hAnsi="Georgia"/>
          <w:b/>
          <w:bCs/>
          <w:color w:val="141414"/>
          <w:sz w:val="24"/>
          <w:szCs w:val="24"/>
        </w:rPr>
        <w:t xml:space="preserve">5.4 El riesgo: expectativa sin fricción</w:t>
      </w:r>
    </w:p>
    <w:p>
      <w:pPr>
        <w:spacing w:after="160" w:line="300"/>
        <w:jc w:val="both"/>
      </w:pPr>
      <w:r>
        <w:rPr>
          <w:rFonts w:ascii="Calibri" w:cs="Calibri" w:eastAsia="Calibri" w:hAnsi="Calibri"/>
          <w:color w:val="141414"/>
          <w:sz w:val="22"/>
          <w:szCs w:val="22"/>
        </w:rPr>
        <w:t xml:space="preserve">El principal riesgo clínico de este cambio es que la imagen generada se produce sin ninguna fricción: no tiene costo, no tiene límite anatómico y no tiene contraparte profesional que la module. El paciente puede iterar hasta obtener exactamente lo que desea ver, y esa versión final —la más satisfactoria, no la más realista— es la que queda fijada como referencia.</w:t>
      </w:r>
    </w:p>
    <w:p>
      <w:pPr>
        <w:spacing w:after="160" w:line="300"/>
        <w:jc w:val="both"/>
      </w:pPr>
      <w:r>
        <w:rPr>
          <w:rFonts w:ascii="Calibri" w:cs="Calibri" w:eastAsia="Calibri" w:hAnsi="Calibri"/>
          <w:color w:val="141414"/>
          <w:sz w:val="22"/>
          <w:szCs w:val="22"/>
        </w:rPr>
        <w:t xml:space="preserve">La literatura en estética dental viene advirtiendo desde hace años sobre la exposición sostenida a imágenes idealizadas y su efecto sobre la percepción de la propia sonrisa. La generación personalizada agrava el fenómeno en un punto específico: la imagen ya no es de un modelo inalcanzable, es </w:t>
      </w:r>
      <w:r>
        <w:rPr>
          <w:rFonts w:ascii="Calibri" w:cs="Calibri" w:eastAsia="Calibri" w:hAnsi="Calibri"/>
          <w:b w:val="false"/>
          <w:bCs w:val="false"/>
          <w:i/>
          <w:iCs/>
          <w:color w:val="141414"/>
          <w:sz w:val="22"/>
          <w:szCs w:val="22"/>
        </w:rPr>
        <w:t xml:space="preserve">del propio paciente</w:t>
      </w:r>
      <w:r>
        <w:rPr>
          <w:rFonts w:ascii="Calibri" w:cs="Calibri" w:eastAsia="Calibri" w:hAnsi="Calibri"/>
          <w:color w:val="141414"/>
          <w:sz w:val="22"/>
          <w:szCs w:val="22"/>
        </w:rPr>
        <w:t xml:space="preserve">, lo que la vuelve psicológicamente mucho más vinculante. Rechazarla de plano genera resistencia; aceptarla sin examen genera un compromiso imposible de cumplir. El protocolo de la sección 5.3 busca precisamente ese punto intermedio.</w:t>
      </w:r>
    </w:p>
    <w:p>
      <w:pPr>
        <w:spacing w:after="160" w:line="300"/>
        <w:jc w:val="both"/>
      </w:pPr>
      <w:r>
        <w:rPr>
          <w:rFonts w:ascii="Calibri" w:cs="Calibri" w:eastAsia="Calibri" w:hAnsi="Calibri"/>
          <w:color w:val="141414"/>
          <w:sz w:val="22"/>
          <w:szCs w:val="22"/>
        </w:rPr>
        <w:t xml:space="preserve">Existe un segundo riesgo, de orden distinto: el asistente conversacional también interviene en la elección del profesional y en las nociones previas sobre materiales, plazos y procedimientos. Cuando esa información es incompleta o está desactualizada, el paciente llega con premisas erróneas que el clínico debe desarmar antes de poder avanzar. La verificación de lo que el paciente cree saber pasa a ser parte del examen.</w:t>
      </w:r>
    </w:p>
    <w:p>
      <w:pPr>
        <w:pStyle w:val="Heading2"/>
        <w:spacing w:after="140" w:before="300"/>
      </w:pPr>
      <w:r>
        <w:rPr>
          <w:rFonts w:ascii="Georgia" w:cs="Georgia" w:eastAsia="Georgia" w:hAnsi="Georgia"/>
          <w:b/>
          <w:bCs/>
          <w:color w:val="141414"/>
          <w:sz w:val="24"/>
          <w:szCs w:val="24"/>
        </w:rPr>
        <w:t xml:space="preserve">5.5 Implicancias para la comunicación clínica</w:t>
      </w:r>
    </w:p>
    <w:p>
      <w:pPr>
        <w:spacing w:after="160" w:line="300"/>
        <w:jc w:val="both"/>
      </w:pPr>
      <w:r>
        <w:rPr>
          <w:rFonts w:ascii="Calibri" w:cs="Calibri" w:eastAsia="Calibri" w:hAnsi="Calibri"/>
          <w:color w:val="141414"/>
          <w:sz w:val="22"/>
          <w:szCs w:val="22"/>
        </w:rPr>
        <w:t xml:space="preserve">Si la mitad de las primeras consultas se origina en una conversación con un modelo de lenguaje, la información pública de una práctica clínica deja de estar dirigida únicamente a personas: pasa a ser leída, resumida y citada por sistemas automáticos. Eso cambia el criterio de qué vale la pena publicar.</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Especificidad por sobre adjetivación. </w:t>
      </w:r>
      <w:r>
        <w:rPr>
          <w:rFonts w:ascii="Calibri" w:cs="Calibri" w:eastAsia="Calibri" w:hAnsi="Calibri"/>
          <w:color w:val="141414"/>
          <w:sz w:val="22"/>
          <w:szCs w:val="22"/>
        </w:rPr>
        <w:t xml:space="preserve">Un sistema de respuesta puede citar un material, un método, un plazo o una ubicación. No puede citar un superlativo. La información verificable y concreta es la que sobrevive al resumen automático.</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Trazabilidad del criterio clínico. </w:t>
      </w:r>
      <w:r>
        <w:rPr>
          <w:rFonts w:ascii="Calibri" w:cs="Calibri" w:eastAsia="Calibri" w:hAnsi="Calibri"/>
          <w:color w:val="141414"/>
          <w:sz w:val="22"/>
          <w:szCs w:val="22"/>
        </w:rPr>
        <w:t xml:space="preserve">Explicitar por qué se elige un material sobre otro, o cuándo un caso no es candidato a un tratamiento, produce contenido que un modelo puede reutilizar con fidelidad — y que además cumple una función de consentimiento anticipado.</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Coherencia entre todas las fuentes públicas. </w:t>
      </w:r>
      <w:r>
        <w:rPr>
          <w:rFonts w:ascii="Calibri" w:cs="Calibri" w:eastAsia="Calibri" w:hAnsi="Calibri"/>
          <w:color w:val="141414"/>
          <w:sz w:val="22"/>
          <w:szCs w:val="22"/>
        </w:rPr>
        <w:t xml:space="preserve">Sitio, ficha de negocio, publicaciones y perfiles profesionales deben sostener los mismos datos. Las discrepancias degradan tanto la confianza del paciente como la precisión de la respuesta automática.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La documentación clínica propia como activo. </w:t>
      </w:r>
      <w:r>
        <w:rPr>
          <w:rFonts w:ascii="Calibri" w:cs="Calibri" w:eastAsia="Calibri" w:hAnsi="Calibri"/>
          <w:color w:val="141414"/>
          <w:sz w:val="22"/>
          <w:szCs w:val="22"/>
        </w:rPr>
        <w:t xml:space="preserve">El caso documentado con rigor —secuencia completa, mismo encuadre, mismas condiciones de luz— sigue siendo la única evidencia que ninguna imagen generada puede sustituir, porque es verificable.</w:t>
      </w:r>
    </w:p>
    <w:p>
      <w:pPr>
        <w:spacing w:after="120"/>
      </w:pPr>
      <w:r>
        <w:t xml:space="preserve"/>
      </w:r>
    </w:p>
    <w:p>
      <w:pPr>
        <w:pStyle w:val="Heading1"/>
        <w:spacing w:after="180" w:before="400"/>
      </w:pPr>
      <w:r>
        <w:rPr>
          <w:rFonts w:ascii="Georgia" w:cs="Georgia" w:eastAsia="Georgia" w:hAnsi="Georgia"/>
          <w:b/>
          <w:bCs/>
          <w:color w:val="141414"/>
          <w:sz w:val="28"/>
          <w:szCs w:val="28"/>
        </w:rPr>
        <w:t xml:space="preserve">6. Limitaciones</w:t>
      </w:r>
    </w:p>
    <w:p>
      <w:pPr>
        <w:spacing w:after="160" w:line="300"/>
        <w:jc w:val="both"/>
      </w:pPr>
      <w:r>
        <w:rPr>
          <w:rFonts w:ascii="Calibri" w:cs="Calibri" w:eastAsia="Calibri" w:hAnsi="Calibri"/>
          <w:color w:val="141414"/>
          <w:sz w:val="22"/>
          <w:szCs w:val="22"/>
        </w:rPr>
        <w:t xml:space="preserve">Este reporte describe lo observado en una única práctica y debe leerse con las siguientes reservas:</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Muestra única y no representativa. </w:t>
      </w:r>
      <w:r>
        <w:rPr>
          <w:rFonts w:ascii="Calibri" w:cs="Calibri" w:eastAsia="Calibri" w:hAnsi="Calibri"/>
          <w:color w:val="141414"/>
          <w:sz w:val="22"/>
          <w:szCs w:val="22"/>
        </w:rPr>
        <w:t xml:space="preserve">Se trata de una práctica privada de estética dental en una zona específica de Buenos Aires, con un perfil de paciente determinado. La magnitud del cambio no es extrapolable a otras poblaciones, especialidades ni regiones.</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Instrumento declarativo. </w:t>
      </w:r>
      <w:r>
        <w:rPr>
          <w:rFonts w:ascii="Calibri" w:cs="Calibri" w:eastAsia="Calibri" w:hAnsi="Calibri"/>
          <w:color w:val="141414"/>
          <w:sz w:val="22"/>
          <w:szCs w:val="22"/>
        </w:rPr>
        <w:t xml:space="preserve">La vía de llegada se basa en lo que el paciente recuerda y decide mencionar. Está sujeta a sesgo de memoria y de deseabilidad social.</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Atribución simplificada a una sola causa. </w:t>
      </w:r>
      <w:r>
        <w:rPr>
          <w:rFonts w:ascii="Calibri" w:cs="Calibri" w:eastAsia="Calibri" w:hAnsi="Calibri"/>
          <w:color w:val="141414"/>
          <w:sz w:val="22"/>
          <w:szCs w:val="22"/>
        </w:rPr>
        <w:t xml:space="preserve">El recorrido real de un paciente es multicanal: puede haber consultado un asistente de IA, visto publicaciones en redes y recibido una recomendación. La categorización fuerza una única respuesta, lo que probablemente subestima la superposición entre canales.</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Ausencia de análisis estadístico. </w:t>
      </w:r>
      <w:r>
        <w:rPr>
          <w:rFonts w:ascii="Calibri" w:cs="Calibri" w:eastAsia="Calibri" w:hAnsi="Calibri"/>
          <w:color w:val="141414"/>
          <w:sz w:val="22"/>
          <w:szCs w:val="22"/>
        </w:rPr>
        <w:t xml:space="preserve">Las proporciones se expresan sobre cada diez consultas, sin intervalos de confianza ni contraste de hipótesis. Son una descripción, no una inferencia.</w:t>
      </w:r>
    </w:p>
    <w:p>
      <w:pPr>
        <w:pStyle w:val="ListParagraph"/>
        <w:numPr>
          <w:ilvl w:val="0"/>
          <w:numId w:val="2"/>
        </w:numPr>
        <w:spacing w:after="100" w:line="290"/>
        <w:jc w:val="both"/>
      </w:pPr>
      <w:r>
        <w:rPr>
          <w:rFonts w:ascii="Calibri" w:cs="Calibri" w:eastAsia="Calibri" w:hAnsi="Calibri"/>
          <w:b/>
          <w:bCs/>
          <w:i w:val="false"/>
          <w:iCs w:val="false"/>
          <w:color w:val="141414"/>
          <w:sz w:val="22"/>
          <w:szCs w:val="22"/>
        </w:rPr>
        <w:t xml:space="preserve">Línea de base retrospectiva. </w:t>
      </w:r>
      <w:r>
        <w:rPr>
          <w:rFonts w:ascii="Calibri" w:cs="Calibri" w:eastAsia="Calibri" w:hAnsi="Calibri"/>
          <w:color w:val="141414"/>
          <w:sz w:val="22"/>
          <w:szCs w:val="22"/>
        </w:rPr>
        <w:t xml:space="preserve">La distribución histórica proviene del registro clínico acumulado de la práctica y no de una medición diseñada con este fin.</w:t>
      </w:r>
    </w:p>
    <w:p>
      <w:pPr>
        <w:spacing w:after="160" w:line="300"/>
        <w:jc w:val="both"/>
      </w:pPr>
      <w:r>
        <w:rPr>
          <w:rFonts w:ascii="Calibri" w:cs="Calibri" w:eastAsia="Calibri" w:hAnsi="Calibri"/>
          <w:color w:val="141414"/>
          <w:sz w:val="22"/>
          <w:szCs w:val="22"/>
        </w:rPr>
        <w:t xml:space="preserve">Estas limitaciones acotan el alcance de la conclusión, pero no la anulan: la aparición de una categoría que pasa de cero a la posición dominante en seis meses es un fenómeno de magnitud suficiente como para no ser atribuible a ruido de registro.</w:t>
      </w:r>
    </w:p>
    <w:p>
      <w:pPr>
        <w:spacing w:after="120"/>
      </w:pPr>
      <w:r>
        <w:t xml:space="preserve"/>
      </w:r>
    </w:p>
    <w:p>
      <w:pPr>
        <w:pStyle w:val="Heading1"/>
        <w:spacing w:after="180" w:before="400"/>
      </w:pPr>
      <w:r>
        <w:rPr>
          <w:rFonts w:ascii="Georgia" w:cs="Georgia" w:eastAsia="Georgia" w:hAnsi="Georgia"/>
          <w:b/>
          <w:bCs/>
          <w:color w:val="141414"/>
          <w:sz w:val="28"/>
          <w:szCs w:val="28"/>
        </w:rPr>
        <w:t xml:space="preserve">7. Conclusiones</w:t>
      </w:r>
    </w:p>
    <w:p>
      <w:pPr>
        <w:pStyle w:val="ListParagraph"/>
        <w:numPr>
          <w:ilvl w:val="0"/>
          <w:numId w:val="3"/>
        </w:numPr>
        <w:spacing w:after="100" w:line="290"/>
        <w:jc w:val="both"/>
      </w:pPr>
      <w:r>
        <w:rPr>
          <w:rFonts w:ascii="Calibri" w:cs="Calibri" w:eastAsia="Calibri" w:hAnsi="Calibri"/>
          <w:color w:val="141414"/>
          <w:sz w:val="22"/>
          <w:szCs w:val="22"/>
        </w:rPr>
        <w:t xml:space="preserve">La vía de llegada del paciente de estética dental se reordenó en un plazo breve: el asistente conversacional de inteligencia artificial pasó de no registrarse a originar la mitad de las primeras consultas, desplazando a las redes sociales de la posición dominante.</w:t>
      </w:r>
    </w:p>
    <w:p>
      <w:pPr>
        <w:pStyle w:val="ListParagraph"/>
        <w:numPr>
          <w:ilvl w:val="0"/>
          <w:numId w:val="3"/>
        </w:numPr>
        <w:spacing w:after="100" w:line="290"/>
        <w:jc w:val="both"/>
      </w:pPr>
      <w:r>
        <w:rPr>
          <w:rFonts w:ascii="Calibri" w:cs="Calibri" w:eastAsia="Calibri" w:hAnsi="Calibri"/>
          <w:color w:val="141414"/>
          <w:sz w:val="22"/>
          <w:szCs w:val="22"/>
        </w:rPr>
        <w:t xml:space="preserve">La sustitución afectó al canal de descubrimiento, no al de confianza: la recomendación directa se mantuvo prácticamente estable y sigue siendo la vía de mayor calidad de consulta.</w:t>
      </w:r>
    </w:p>
    <w:p>
      <w:pPr>
        <w:pStyle w:val="ListParagraph"/>
        <w:numPr>
          <w:ilvl w:val="0"/>
          <w:numId w:val="3"/>
        </w:numPr>
        <w:spacing w:after="100" w:line="290"/>
        <w:jc w:val="both"/>
      </w:pPr>
      <w:r>
        <w:rPr>
          <w:rFonts w:ascii="Calibri" w:cs="Calibri" w:eastAsia="Calibri" w:hAnsi="Calibri"/>
          <w:color w:val="141414"/>
          <w:sz w:val="22"/>
          <w:szCs w:val="22"/>
        </w:rPr>
        <w:t xml:space="preserve">Cambió la naturaleza de la primera consulta. El paciente ya no llega a preguntar qué es posible, sino a verificar si lo que ya vio es posible en él, y con frecuencia lo hace con una imagen idealizada de su propia sonrisa.</w:t>
      </w:r>
    </w:p>
    <w:p>
      <w:pPr>
        <w:pStyle w:val="ListParagraph"/>
        <w:numPr>
          <w:ilvl w:val="0"/>
          <w:numId w:val="3"/>
        </w:numPr>
        <w:spacing w:after="100" w:line="290"/>
        <w:jc w:val="both"/>
      </w:pPr>
      <w:r>
        <w:rPr>
          <w:rFonts w:ascii="Calibri" w:cs="Calibri" w:eastAsia="Calibri" w:hAnsi="Calibri"/>
          <w:color w:val="141414"/>
          <w:sz w:val="22"/>
          <w:szCs w:val="22"/>
        </w:rPr>
        <w:t xml:space="preserve">Esa imagen carece por completo de valor diagnóstico y posee un valor comunicacional alto. El error clínico es tratarla como un plan de tratamiento; el desperdicio clínico es descartarla sin leer la expectativa que contiene.</w:t>
      </w:r>
    </w:p>
    <w:p>
      <w:pPr>
        <w:pStyle w:val="ListParagraph"/>
        <w:numPr>
          <w:ilvl w:val="0"/>
          <w:numId w:val="3"/>
        </w:numPr>
        <w:spacing w:after="100" w:line="290"/>
        <w:jc w:val="both"/>
      </w:pPr>
      <w:r>
        <w:rPr>
          <w:rFonts w:ascii="Calibri" w:cs="Calibri" w:eastAsia="Calibri" w:hAnsi="Calibri"/>
          <w:color w:val="141414"/>
          <w:sz w:val="22"/>
          <w:szCs w:val="22"/>
        </w:rPr>
        <w:t xml:space="preserve">El acto profesional que define la consulta contemporánea es la </w:t>
      </w:r>
      <w:r>
        <w:rPr>
          <w:rFonts w:ascii="Calibri" w:cs="Calibri" w:eastAsia="Calibri" w:hAnsi="Calibri"/>
          <w:b/>
          <w:bCs/>
          <w:i w:val="false"/>
          <w:iCs w:val="false"/>
          <w:color w:val="141414"/>
          <w:sz w:val="22"/>
          <w:szCs w:val="22"/>
        </w:rPr>
        <w:t xml:space="preserve">traducción</w:t>
      </w:r>
      <w:r>
        <w:rPr>
          <w:rFonts w:ascii="Calibri" w:cs="Calibri" w:eastAsia="Calibri" w:hAnsi="Calibri"/>
          <w:color w:val="141414"/>
          <w:sz w:val="22"/>
          <w:szCs w:val="22"/>
        </w:rPr>
        <w:t xml:space="preserve">: convertir una expectativa visual sin restricciones en un ensayo estético tridimensional, verificable en boca y aprobado por el paciente antes de cualquier procedimiento irreversible.</w:t>
      </w:r>
    </w:p>
    <w:p>
      <w:pPr>
        <w:pStyle w:val="ListParagraph"/>
        <w:numPr>
          <w:ilvl w:val="0"/>
          <w:numId w:val="3"/>
        </w:numPr>
        <w:spacing w:after="100" w:line="290"/>
        <w:jc w:val="both"/>
      </w:pPr>
      <w:r>
        <w:rPr>
          <w:rFonts w:ascii="Calibri" w:cs="Calibri" w:eastAsia="Calibri" w:hAnsi="Calibri"/>
          <w:color w:val="141414"/>
          <w:sz w:val="22"/>
          <w:szCs w:val="22"/>
        </w:rPr>
        <w:t xml:space="preserve">Nada indica que la tendencia se detenga. Es razonable prever que la proporción continúe creciendo, y que el diagnóstico de expectativas —hasta ahora un paso implícito— se consolide como una etapa formal del protocolo estético.</w:t>
      </w:r>
    </w:p>
    <w:p>
      <w:pPr>
        <w:spacing w:after="180"/>
      </w:pPr>
      <w:r>
        <w:t xml:space="preserve"/>
      </w:r>
    </w:p>
    <w:tbl>
      <w:tblPr>
        <w:tblW w:type="dxa" w:w="9070"/>
        <w:tblBorders>
          <w:top w:val="single" w:color="DDD6C8" w:sz="2"/>
          <w:left w:val="single" w:color="C9A96E" w:sz="18"/>
          <w:bottom w:val="single" w:color="DDD6C8" w:sz="2"/>
          <w:right w:val="single" w:color="DDD6C8" w:sz="2"/>
          <w:insideH w:val="none" w:color="FFFFFF" w:sz="0"/>
          <w:insideV w:val="none" w:color="FFFFFF" w:sz="0"/>
        </w:tblBorders>
      </w:tblPr>
      <w:tblGrid>
        <w:gridCol w:w="9070"/>
      </w:tblGrid>
      <w:tr>
        <w:tc>
          <w:tcPr>
            <w:tcW w:type="dxa" w:w="9070"/>
            <w:shd w:fill="F5F0E8" w:color="auto" w:val="clear"/>
            <w:tcMar>
              <w:top w:type="dxa" w:w="220"/>
              <w:left w:type="dxa" w:w="280"/>
              <w:bottom w:type="dxa" w:w="220"/>
              <w:right w:type="dxa" w:w="280"/>
            </w:tcMar>
          </w:tcPr>
          <w:p>
            <w:pPr>
              <w:spacing w:after="140"/>
            </w:pPr>
            <w:r>
              <w:rPr>
                <w:rFonts w:ascii="Calibri" w:cs="Calibri" w:eastAsia="Calibri" w:hAnsi="Calibri"/>
                <w:b/>
                <w:bCs/>
                <w:caps/>
                <w:color w:val="141414"/>
                <w:sz w:val="21"/>
                <w:szCs w:val="21"/>
              </w:rPr>
              <w:t xml:space="preserve">Puntos clave para la práctica</w:t>
            </w:r>
          </w:p>
          <w:p>
            <w:pPr>
              <w:pStyle w:val="ListParagraph"/>
              <w:numPr>
                <w:ilvl w:val="0"/>
                <w:numId w:val="2"/>
              </w:numPr>
              <w:spacing w:after="100" w:line="290"/>
              <w:jc w:val="both"/>
            </w:pPr>
            <w:r>
              <w:rPr>
                <w:rFonts w:ascii="Calibri" w:cs="Calibri" w:eastAsia="Calibri" w:hAnsi="Calibri"/>
                <w:color w:val="141414"/>
                <w:sz w:val="22"/>
                <w:szCs w:val="22"/>
              </w:rPr>
              <w:t xml:space="preserve">Preguntar siempre cómo llegó el paciente. Es el dato que mejor anticipa el tipo de conversación clínica que sigue.</w:t>
            </w:r>
          </w:p>
          <w:p>
            <w:pPr>
              <w:pStyle w:val="ListParagraph"/>
              <w:numPr>
                <w:ilvl w:val="0"/>
                <w:numId w:val="2"/>
              </w:numPr>
              <w:spacing w:after="100" w:line="290"/>
              <w:jc w:val="both"/>
            </w:pPr>
            <w:r>
              <w:rPr>
                <w:rFonts w:ascii="Calibri" w:cs="Calibri" w:eastAsia="Calibri" w:hAnsi="Calibri"/>
                <w:color w:val="141414"/>
                <w:sz w:val="22"/>
                <w:szCs w:val="22"/>
              </w:rPr>
              <w:t xml:space="preserve">Pedir explícitamente la imagen que el paciente generó. Si existe, define la expectativa mejor que cualquier cuestionario.</w:t>
            </w:r>
          </w:p>
          <w:p>
            <w:pPr>
              <w:pStyle w:val="ListParagraph"/>
              <w:numPr>
                <w:ilvl w:val="0"/>
                <w:numId w:val="2"/>
              </w:numPr>
              <w:spacing w:after="100" w:line="290"/>
              <w:jc w:val="both"/>
            </w:pPr>
            <w:r>
              <w:rPr>
                <w:rFonts w:ascii="Calibri" w:cs="Calibri" w:eastAsia="Calibri" w:hAnsi="Calibri"/>
                <w:color w:val="141414"/>
                <w:sz w:val="22"/>
                <w:szCs w:val="22"/>
              </w:rPr>
              <w:t xml:space="preserve">Nombrar la imagen por lo que es —una simulación gráfica— sin desvalorizar al paciente que la trajo.</w:t>
            </w:r>
          </w:p>
          <w:p>
            <w:pPr>
              <w:pStyle w:val="ListParagraph"/>
              <w:numPr>
                <w:ilvl w:val="0"/>
                <w:numId w:val="2"/>
              </w:numPr>
              <w:spacing w:after="100" w:line="290"/>
              <w:jc w:val="both"/>
            </w:pPr>
            <w:r>
              <w:rPr>
                <w:rFonts w:ascii="Calibri" w:cs="Calibri" w:eastAsia="Calibri" w:hAnsi="Calibri"/>
                <w:color w:val="141414"/>
                <w:sz w:val="22"/>
                <w:szCs w:val="22"/>
              </w:rPr>
              <w:t xml:space="preserve">No aprobar nunca un plan sobre la base de un render. Aprobarlo sobre un mock-up validado en boca.</w:t>
            </w:r>
          </w:p>
          <w:p>
            <w:pPr>
              <w:pStyle w:val="ListParagraph"/>
              <w:numPr>
                <w:ilvl w:val="0"/>
                <w:numId w:val="2"/>
              </w:numPr>
              <w:spacing w:after="0" w:line="290"/>
              <w:jc w:val="both"/>
            </w:pPr>
            <w:r>
              <w:rPr>
                <w:rFonts w:ascii="Calibri" w:cs="Calibri" w:eastAsia="Calibri" w:hAnsi="Calibri"/>
                <w:color w:val="141414"/>
                <w:sz w:val="22"/>
                <w:szCs w:val="22"/>
              </w:rPr>
              <w:t xml:space="preserve">Documentar los casos propios con rigor fotográfico: es la evidencia que ninguna imagen generada puede reemplazar.</w:t>
            </w:r>
          </w:p>
        </w:tc>
      </w:tr>
    </w:tbl>
    <w:p>
      <w:pPr>
        <w:spacing w:after="240"/>
      </w:pPr>
      <w:r>
        <w:t xml:space="preserve"/>
      </w:r>
    </w:p>
    <w:p>
      <w:pPr>
        <w:pStyle w:val="Heading1"/>
        <w:spacing w:after="180" w:before="400"/>
      </w:pPr>
      <w:r>
        <w:rPr>
          <w:rFonts w:ascii="Georgia" w:cs="Georgia" w:eastAsia="Georgia" w:hAnsi="Georgia"/>
          <w:b/>
          <w:bCs/>
          <w:color w:val="141414"/>
          <w:sz w:val="28"/>
          <w:szCs w:val="28"/>
        </w:rPr>
        <w:t xml:space="preserve">Declaraciones</w:t>
      </w:r>
    </w:p>
    <w:p>
      <w:pPr>
        <w:spacing w:after="160" w:line="300"/>
        <w:jc w:val="both"/>
      </w:pPr>
      <w:r>
        <w:rPr>
          <w:rFonts w:ascii="Calibri" w:cs="Calibri" w:eastAsia="Calibri" w:hAnsi="Calibri"/>
          <w:b/>
          <w:bCs/>
          <w:i w:val="false"/>
          <w:iCs w:val="false"/>
          <w:color w:val="141414"/>
          <w:sz w:val="22"/>
          <w:szCs w:val="22"/>
        </w:rPr>
        <w:t xml:space="preserve">Conflicto de intereses. </w:t>
      </w:r>
      <w:r>
        <w:rPr>
          <w:rFonts w:ascii="Calibri" w:cs="Calibri" w:eastAsia="Calibri" w:hAnsi="Calibri"/>
          <w:color w:val="141414"/>
          <w:sz w:val="22"/>
          <w:szCs w:val="22"/>
        </w:rPr>
        <w:t xml:space="preserve">El autor ejerce en la práctica privada donde se realizó la observación. No recibió financiamiento externo para este trabajo ni mantiene vínculo comercial con las plataformas mencionadas.</w:t>
      </w:r>
    </w:p>
    <w:p>
      <w:pPr>
        <w:spacing w:after="160" w:line="300"/>
        <w:jc w:val="both"/>
      </w:pPr>
      <w:r>
        <w:rPr>
          <w:rFonts w:ascii="Calibri" w:cs="Calibri" w:eastAsia="Calibri" w:hAnsi="Calibri"/>
          <w:b/>
          <w:bCs/>
          <w:i w:val="false"/>
          <w:iCs w:val="false"/>
          <w:color w:val="141414"/>
          <w:sz w:val="22"/>
          <w:szCs w:val="22"/>
        </w:rPr>
        <w:t xml:space="preserve">Consideraciones éticas y consentimiento. </w:t>
      </w:r>
      <w:r>
        <w:rPr>
          <w:rFonts w:ascii="Calibri" w:cs="Calibri" w:eastAsia="Calibri" w:hAnsi="Calibri"/>
          <w:color w:val="141414"/>
          <w:sz w:val="22"/>
          <w:szCs w:val="22"/>
        </w:rPr>
        <w:t xml:space="preserve">No se reportan datos identificatorios de pacientes. Toda imagen clínica o fotografía de consultorio incluida en el documento final debe contar con consentimiento informado escrito para su uso con fines profesionales y de divulgación.</w:t>
      </w:r>
    </w:p>
    <w:p>
      <w:pPr>
        <w:spacing w:after="160" w:line="300"/>
        <w:jc w:val="both"/>
      </w:pPr>
      <w:r>
        <w:rPr>
          <w:rFonts w:ascii="Calibri" w:cs="Calibri" w:eastAsia="Calibri" w:hAnsi="Calibri"/>
          <w:b/>
          <w:bCs/>
          <w:i w:val="false"/>
          <w:iCs w:val="false"/>
          <w:color w:val="141414"/>
          <w:sz w:val="22"/>
          <w:szCs w:val="22"/>
        </w:rPr>
        <w:t xml:space="preserve">Uso de herramientas de inteligencia artificial. </w:t>
      </w:r>
      <w:r>
        <w:rPr>
          <w:rFonts w:ascii="Calibri" w:cs="Calibri" w:eastAsia="Calibri" w:hAnsi="Calibri"/>
          <w:color w:val="141414"/>
          <w:sz w:val="22"/>
          <w:szCs w:val="22"/>
        </w:rPr>
        <w:t xml:space="preserve">Se declara el uso de asistencia de IA en la organización y redacción del manuscrito. El contenido clínico, la observación registrada y las conclusiones son responsabilidad exclusiva del autor.</w:t>
      </w:r>
    </w:p>
    <w:p>
      <w:pPr>
        <w:spacing w:after="160"/>
      </w:pPr>
      <w:r>
        <w:t xml:space="preserve"/>
      </w:r>
    </w:p>
    <w:p>
      <w:pPr>
        <w:pStyle w:val="Heading1"/>
        <w:spacing w:after="180" w:before="400"/>
      </w:pPr>
      <w:r>
        <w:rPr>
          <w:rFonts w:ascii="Georgia" w:cs="Georgia" w:eastAsia="Georgia" w:hAnsi="Georgia"/>
          <w:b/>
          <w:bCs/>
          <w:color w:val="141414"/>
          <w:sz w:val="28"/>
          <w:szCs w:val="28"/>
        </w:rPr>
        <w:t xml:space="preserve">Referencias</w:t>
      </w:r>
    </w:p>
    <w:p>
      <w:pPr>
        <w:spacing w:after="120" w:line="280"/>
        <w:ind w:left="340" w:hanging="340"/>
        <w:jc w:val="left"/>
      </w:pPr>
      <w:r>
        <w:rPr>
          <w:rFonts w:ascii="Calibri" w:cs="Calibri" w:eastAsia="Calibri" w:hAnsi="Calibri"/>
          <w:color w:val="141414"/>
          <w:sz w:val="20"/>
          <w:szCs w:val="20"/>
        </w:rPr>
        <w:t xml:space="preserve">1.  Coachman C, Calamita M. Digital Smile Design: a tool for treatment planning and communication in esthetic dentistry. Quintessence of Dental Technology. 2012;35:103-111.</w:t>
      </w:r>
    </w:p>
    <w:p>
      <w:pPr>
        <w:spacing w:after="120" w:line="280"/>
        <w:ind w:left="340" w:hanging="340"/>
        <w:jc w:val="left"/>
      </w:pPr>
      <w:r>
        <w:rPr>
          <w:rFonts w:ascii="Calibri" w:cs="Calibri" w:eastAsia="Calibri" w:hAnsi="Calibri"/>
          <w:color w:val="141414"/>
          <w:sz w:val="20"/>
          <w:szCs w:val="20"/>
        </w:rPr>
        <w:t xml:space="preserve">2.  Magne P, Belser U. Bonded Porcelain Restorations in the Anterior Dentition: A Biomimetic Approach. Chicago: Quintessence Publishing; 2002.</w:t>
      </w:r>
    </w:p>
    <w:p>
      <w:pPr>
        <w:spacing w:after="120" w:line="280"/>
        <w:ind w:left="340" w:hanging="340"/>
        <w:jc w:val="left"/>
      </w:pPr>
      <w:r>
        <w:rPr>
          <w:rFonts w:ascii="Calibri" w:cs="Calibri" w:eastAsia="Calibri" w:hAnsi="Calibri"/>
          <w:color w:val="141414"/>
          <w:sz w:val="20"/>
          <w:szCs w:val="20"/>
        </w:rPr>
        <w:t xml:space="preserve">3.  Gürel G. The Science and Art of Porcelain Laminate Veneers. Chicago: Quintessence Publishing; 2003.</w:t>
      </w:r>
    </w:p>
    <w:p>
      <w:pPr>
        <w:spacing w:after="120" w:line="280"/>
        <w:ind w:left="340" w:hanging="340"/>
        <w:jc w:val="left"/>
      </w:pPr>
      <w:r>
        <w:rPr>
          <w:rFonts w:ascii="Calibri" w:cs="Calibri" w:eastAsia="Calibri" w:hAnsi="Calibri"/>
          <w:color w:val="141414"/>
          <w:sz w:val="20"/>
          <w:szCs w:val="20"/>
        </w:rPr>
        <w:t xml:space="preserve">4.  Chiche GJ, Pinault A. Esthetics of Anterior Fixed Prosthodontics. Chicago: Quintessence Publishing; 1994.</w:t>
      </w:r>
    </w:p>
    <w:p>
      <w:pPr>
        <w:spacing w:after="120" w:line="280"/>
        <w:ind w:left="340" w:hanging="340"/>
        <w:jc w:val="left"/>
      </w:pPr>
      <w:r>
        <w:rPr>
          <w:rFonts w:ascii="Calibri" w:cs="Calibri" w:eastAsia="Calibri" w:hAnsi="Calibri"/>
          <w:color w:val="141414"/>
          <w:sz w:val="20"/>
          <w:szCs w:val="20"/>
        </w:rPr>
        <w:t xml:space="preserve">5.  Rufenacht CR. Fundamentals of Esthetics. Chicago: Quintessence Publishing; 1990.</w:t>
      </w:r>
    </w:p>
    <w:p>
      <w:pPr>
        <w:spacing w:after="120" w:line="280"/>
        <w:ind w:left="340" w:hanging="340"/>
        <w:jc w:val="left"/>
      </w:pPr>
      <w:r>
        <w:rPr>
          <w:rFonts w:ascii="Calibri" w:cs="Calibri" w:eastAsia="Calibri" w:hAnsi="Calibri"/>
          <w:color w:val="141414"/>
          <w:sz w:val="20"/>
          <w:szCs w:val="20"/>
        </w:rPr>
        <w:t xml:space="preserve">6.  Simon H, Magne P. Clinically based diagnostic wax-up for optimal esthetics: the diagnostic mock-up. Journal of the California Dental Association. 2008;36(5):355-362.</w:t>
      </w:r>
    </w:p>
    <w:p>
      <w:pPr>
        <w:spacing w:after="120" w:line="280"/>
        <w:ind w:left="340" w:hanging="340"/>
        <w:jc w:val="left"/>
      </w:pPr>
      <w:r>
        <w:rPr>
          <w:rFonts w:ascii="Calibri" w:cs="Calibri" w:eastAsia="Calibri" w:hAnsi="Calibri"/>
          <w:color w:val="141414"/>
          <w:sz w:val="20"/>
          <w:szCs w:val="20"/>
        </w:rPr>
        <w:t xml:space="preserve">7.  [Completar] Fuente estadística actualizada sobre adopción de asistentes conversacionales de IA en Argentina y la región, correspondiente al período del reporte.</w:t>
      </w:r>
    </w:p>
    <w:p>
      <w:pPr>
        <w:spacing w:after="120" w:line="280"/>
        <w:ind w:left="340" w:hanging="340"/>
        <w:jc w:val="left"/>
      </w:pPr>
      <w:r>
        <w:rPr>
          <w:rFonts w:ascii="Calibri" w:cs="Calibri" w:eastAsia="Calibri" w:hAnsi="Calibri"/>
          <w:color w:val="141414"/>
          <w:sz w:val="20"/>
          <w:szCs w:val="20"/>
        </w:rPr>
        <w:t xml:space="preserve">8.  [Completar] Referencia sobre exposición a imágenes idealizadas, redes sociales y percepción de la estética dental, ajustada a la norma de la publicación de destino.</w:t>
      </w:r>
    </w:p>
    <w:p>
      <w:pPr>
        <w:spacing w:after="120"/>
      </w:pPr>
      <w:r>
        <w:t xml:space="preserve"/>
      </w:r>
    </w:p>
    <w:tbl>
      <w:tblPr>
        <w:tblW w:type="dxa" w:w="9070"/>
        <w:tblBorders>
          <w:top w:val="single" w:color="DDD6C8" w:sz="2"/>
          <w:left w:val="single" w:color="C9A96E" w:sz="18"/>
          <w:bottom w:val="single" w:color="DDD6C8" w:sz="2"/>
          <w:right w:val="single" w:color="DDD6C8" w:sz="2"/>
          <w:insideH w:val="none" w:color="FFFFFF" w:sz="0"/>
          <w:insideV w:val="none" w:color="FFFFFF" w:sz="0"/>
        </w:tblBorders>
      </w:tblPr>
      <w:tblGrid>
        <w:gridCol w:w="9070"/>
      </w:tblGrid>
      <w:tr>
        <w:tc>
          <w:tcPr>
            <w:tcW w:type="dxa" w:w="9070"/>
            <w:shd w:fill="FBF9F5" w:color="auto" w:val="clear"/>
            <w:tcMar>
              <w:top w:type="dxa" w:w="220"/>
              <w:left w:type="dxa" w:w="280"/>
              <w:bottom w:type="dxa" w:w="220"/>
              <w:right w:type="dxa" w:w="280"/>
            </w:tcMar>
          </w:tcPr>
          <w:p>
            <w:pPr>
              <w:spacing w:after="0" w:line="280"/>
              <w:jc w:val="both"/>
            </w:pPr>
            <w:r>
              <w:rPr>
                <w:rFonts w:ascii="Calibri" w:cs="Calibri" w:eastAsia="Calibri" w:hAnsi="Calibri"/>
                <w:i/>
                <w:iCs/>
                <w:color w:val="6B6B6B"/>
                <w:sz w:val="19"/>
                <w:szCs w:val="19"/>
              </w:rPr>
              <w:t xml:space="preserve">Nota sobre las referencias. Las citas 1 a 6 corresponden a literatura de referencia consolidada en odontología estética y sustentan el apartado clínico. Antes de enviar el manuscrito a una publicación indexada, verificar volumen, número y paginación según la norma editorial exigida, y completar las entradas 7 y 8 con fuentes actualizadas del período. Los enunciados sobre adopción de IA en este reporte se apoyan exclusivamente en la observación propia declarada en la sección 3 y no en datos poblacionales.</w:t>
            </w:r>
          </w:p>
        </w:tc>
      </w:tr>
    </w:tbl>
    <w:sectPr>
      <w:footerReference w:type="default" r:id="rId7"/>
      <w:pgSz w:w="11906" w:h="16838" w:orient="portrait"/>
      <w:pgMar w:top="1440" w:right="1418" w:bottom="144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AM Estética Dental · Dr. Ariel Merino · Puerto Madero, Buenos Aires  —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Calibri" w:cs="Calibri" w:eastAsia="Calibri" w:hAnsi="Calibri"/>
        <w:color w:val="C9A96E"/>
        <w:sz w:val="22"/>
        <w:szCs w:val="22"/>
      </w:rPr>
    </w:lvl>
  </w:abstractNum>
  <w:abstractNum w:abstractNumId="3" w15:restartNumberingAfterBreak="0">
    <w:multiLevelType w:val="hybridMultilevel"/>
    <w:lvl w:ilvl="0" w15:tentative="1">
      <w:start w:val="1"/>
      <w:numFmt w:val="decimal"/>
      <w:lvlText w:val="%1."/>
      <w:lvlJc w:val="left"/>
      <w:pPr>
        <w:ind w:left="460" w:hanging="280"/>
      </w:pPr>
      <w:rPr>
        <w:rFonts w:ascii="Calibri" w:cs="Calibri" w:eastAsia="Calibri" w:hAnsi="Calibri"/>
        <w:b/>
        <w:bCs/>
        <w:color w:val="C9A9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172dd04787c99c4c616b6b0fea80619186279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red social al motor conversacional</dc:title>
  <dc:creator>Dr. Ariel Merino</dc:creator>
  <dc:description>Reporte observacional sobre el cambio en la vía de llegada del paciente de estética dental</dc:description>
  <cp:lastModifiedBy>Un-named</cp:lastModifiedBy>
  <cp:revision>1</cp:revision>
  <dcterms:created xsi:type="dcterms:W3CDTF">2026-09-14T14:23:04.342Z</dcterms:created>
  <dcterms:modified xsi:type="dcterms:W3CDTF">2026-09-14T14:23:04.342Z</dcterms:modified>
</cp:coreProperties>
</file>

<file path=docProps/custom.xml><?xml version="1.0" encoding="utf-8"?>
<Properties xmlns="http://schemas.openxmlformats.org/officeDocument/2006/custom-properties" xmlns:vt="http://schemas.openxmlformats.org/officeDocument/2006/docPropsVTypes"/>
</file>