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5E64AF" w14:textId="77777777" w:rsidR="0096471E" w:rsidRPr="00CC0FDA" w:rsidRDefault="00000000">
      <w:pPr>
        <w:pStyle w:val="Heading1"/>
        <w:rPr>
          <w:lang w:val="ru-RU"/>
        </w:rPr>
      </w:pPr>
      <w:r w:rsidRPr="00CC0FDA">
        <w:rPr>
          <w:lang w:val="ru-RU"/>
        </w:rPr>
        <w:t>Отчет по лабораторной работе</w:t>
      </w:r>
    </w:p>
    <w:p w14:paraId="1F498B62" w14:textId="77777777" w:rsidR="0096471E" w:rsidRPr="00CC0FDA" w:rsidRDefault="00000000">
      <w:pPr>
        <w:pStyle w:val="Heading2"/>
        <w:rPr>
          <w:lang w:val="ru-RU"/>
        </w:rPr>
      </w:pPr>
      <w:r w:rsidRPr="00CC0FDA">
        <w:rPr>
          <w:lang w:val="ru-RU"/>
        </w:rPr>
        <w:t>Реализация низкочастотных фильтров – фильтр Гаусса</w:t>
      </w:r>
    </w:p>
    <w:p w14:paraId="6374E12D" w14:textId="77777777" w:rsidR="0096471E" w:rsidRPr="00CC0FDA" w:rsidRDefault="00000000">
      <w:pPr>
        <w:rPr>
          <w:lang w:val="ru-RU"/>
        </w:rPr>
      </w:pPr>
      <w:bookmarkStart w:id="0" w:name="OLE_LINK3"/>
      <w:r w:rsidRPr="00CC0FDA">
        <w:rPr>
          <w:lang w:val="ru-RU"/>
        </w:rPr>
        <w:t>Низкочастотные фильтры предназначены для сглаживания изображений и подавления высокочастотных составляющих. Одним из наиболее распространённых фильтров данного типа является фильтр Гаусса. Его особенность заключается в использовании двумерного гауссова ядра, которое обеспечивает естественное и плавное размывание изображения.</w:t>
      </w:r>
    </w:p>
    <w:p w14:paraId="15EF6C7E" w14:textId="77777777" w:rsidR="0096471E" w:rsidRDefault="00000000">
      <w:pPr>
        <w:rPr>
          <w:lang w:val="ru-RU"/>
        </w:rPr>
      </w:pPr>
      <w:r w:rsidRPr="00CC0FDA">
        <w:rPr>
          <w:lang w:val="ru-RU"/>
        </w:rPr>
        <w:t xml:space="preserve">Фильтр Гаусса основан на применении свёртки изображения с гауссовым ядром, значения которого зависят от параметра </w:t>
      </w:r>
      <w:r>
        <w:t>σ</w:t>
      </w:r>
      <w:r w:rsidRPr="00CC0FDA">
        <w:rPr>
          <w:lang w:val="ru-RU"/>
        </w:rPr>
        <w:t xml:space="preserve"> (сигма), определяющего степень размытия. Чем больше </w:t>
      </w:r>
      <w:r>
        <w:t>σ</w:t>
      </w:r>
      <w:r w:rsidRPr="00CC0FDA">
        <w:rPr>
          <w:lang w:val="ru-RU"/>
        </w:rPr>
        <w:t>, тем сильнее эффект сглаживания.</w:t>
      </w:r>
    </w:p>
    <w:p w14:paraId="55C9DA4F" w14:textId="79121D60" w:rsidR="00CC0FDA" w:rsidRDefault="00CC0FDA">
      <w:pPr>
        <w:rPr>
          <w:lang w:val="ru-RU"/>
        </w:rPr>
      </w:pPr>
      <w:r w:rsidRPr="005773E0">
        <w:drawing>
          <wp:inline distT="0" distB="0" distL="0" distR="0" wp14:anchorId="46FDEA81" wp14:editId="67420C67">
            <wp:extent cx="2302799" cy="4475747"/>
            <wp:effectExtent l="0" t="0" r="0" b="0"/>
            <wp:docPr id="150470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701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319528" cy="45082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1B8472" w14:textId="77777777" w:rsidR="00CC0FDA" w:rsidRDefault="00CC0FDA">
      <w:pPr>
        <w:rPr>
          <w:lang w:val="ru-RU"/>
        </w:rPr>
      </w:pPr>
    </w:p>
    <w:p w14:paraId="52FB3710" w14:textId="77777777" w:rsidR="00CC0FDA" w:rsidRPr="00CC0FDA" w:rsidRDefault="00CC0FDA">
      <w:pPr>
        <w:rPr>
          <w:lang w:val="ru-RU"/>
        </w:rPr>
      </w:pPr>
    </w:p>
    <w:bookmarkEnd w:id="0"/>
    <w:p w14:paraId="1D21DBE4" w14:textId="77777777" w:rsidR="0096471E" w:rsidRPr="00CC0FDA" w:rsidRDefault="00000000">
      <w:pPr>
        <w:pStyle w:val="Heading2"/>
        <w:rPr>
          <w:lang w:val="ru-RU"/>
        </w:rPr>
      </w:pPr>
      <w:r w:rsidRPr="00CC0FDA">
        <w:rPr>
          <w:lang w:val="ru-RU"/>
        </w:rPr>
        <w:lastRenderedPageBreak/>
        <w:t>Локальная пороговая обработка</w:t>
      </w:r>
    </w:p>
    <w:p w14:paraId="786E24E4" w14:textId="7E3E39CF" w:rsidR="00CC0FDA" w:rsidRPr="00CC0FDA" w:rsidRDefault="00000000">
      <w:pPr>
        <w:rPr>
          <w:lang w:val="ru-RU"/>
        </w:rPr>
      </w:pPr>
      <w:r w:rsidRPr="00CC0FDA">
        <w:rPr>
          <w:lang w:val="ru-RU"/>
        </w:rPr>
        <w:t>Локальная пороговая обработка позволяет учитывать особенности яркости в различных областях изображения. В отличие от глобальной бинаризации, локальная использует небольшой окружающий окно пикселя регион и вычисляет порог для каждой локальной области.</w:t>
      </w:r>
    </w:p>
    <w:p w14:paraId="36ACD499" w14:textId="77777777" w:rsidR="0096471E" w:rsidRPr="00CC0FDA" w:rsidRDefault="00000000">
      <w:pPr>
        <w:pStyle w:val="Heading3"/>
        <w:rPr>
          <w:lang w:val="ru-RU"/>
        </w:rPr>
      </w:pPr>
      <w:r w:rsidRPr="00CC0FDA">
        <w:rPr>
          <w:lang w:val="ru-RU"/>
        </w:rPr>
        <w:t xml:space="preserve">Метод </w:t>
      </w:r>
      <w:proofErr w:type="spellStart"/>
      <w:r w:rsidRPr="00CC0FDA">
        <w:rPr>
          <w:lang w:val="ru-RU"/>
        </w:rPr>
        <w:t>Бернсена</w:t>
      </w:r>
      <w:proofErr w:type="spellEnd"/>
    </w:p>
    <w:p w14:paraId="1F64CEA5" w14:textId="77777777" w:rsidR="0096471E" w:rsidRDefault="00000000">
      <w:pPr>
        <w:rPr>
          <w:lang w:val="ru-RU"/>
        </w:rPr>
      </w:pPr>
      <w:r w:rsidRPr="00CC0FDA">
        <w:rPr>
          <w:lang w:val="ru-RU"/>
        </w:rPr>
        <w:t xml:space="preserve">Метод </w:t>
      </w:r>
      <w:proofErr w:type="spellStart"/>
      <w:r w:rsidRPr="00CC0FDA">
        <w:rPr>
          <w:lang w:val="ru-RU"/>
        </w:rPr>
        <w:t>Бернсена</w:t>
      </w:r>
      <w:proofErr w:type="spellEnd"/>
      <w:r w:rsidRPr="00CC0FDA">
        <w:rPr>
          <w:lang w:val="ru-RU"/>
        </w:rPr>
        <w:t xml:space="preserve"> основывается на анализе минимального и максимального значений яркости в локальном окне. Порог вычисляется как среднее между этими значениями. Если контраст в окне ниже заданного порога, пиксель может считаться фоном.</w:t>
      </w:r>
    </w:p>
    <w:p w14:paraId="1894157F" w14:textId="29A8AC6F" w:rsidR="00CC0FDA" w:rsidRDefault="00CC0FDA">
      <w:pPr>
        <w:rPr>
          <w:lang w:val="ru-RU"/>
        </w:rPr>
      </w:pPr>
      <w:r w:rsidRPr="005773E0">
        <w:drawing>
          <wp:inline distT="0" distB="0" distL="0" distR="0" wp14:anchorId="46EBD865" wp14:editId="47F4028D">
            <wp:extent cx="2674276" cy="5093110"/>
            <wp:effectExtent l="0" t="0" r="5715" b="0"/>
            <wp:docPr id="20053762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537622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688499" cy="5120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DE21AC" w14:textId="77777777" w:rsidR="00CC0FDA" w:rsidRDefault="00CC0FDA">
      <w:pPr>
        <w:rPr>
          <w:lang w:val="ru-RU"/>
        </w:rPr>
      </w:pPr>
    </w:p>
    <w:p w14:paraId="3C0831F0" w14:textId="77777777" w:rsidR="00CC0FDA" w:rsidRPr="00CC0FDA" w:rsidRDefault="00CC0FDA">
      <w:pPr>
        <w:rPr>
          <w:lang w:val="ru-RU"/>
        </w:rPr>
      </w:pPr>
    </w:p>
    <w:p w14:paraId="79585A58" w14:textId="77777777" w:rsidR="0096471E" w:rsidRPr="00CC0FDA" w:rsidRDefault="00000000">
      <w:pPr>
        <w:pStyle w:val="Heading3"/>
        <w:rPr>
          <w:lang w:val="ru-RU"/>
        </w:rPr>
      </w:pPr>
      <w:r w:rsidRPr="00CC0FDA">
        <w:rPr>
          <w:lang w:val="ru-RU"/>
        </w:rPr>
        <w:lastRenderedPageBreak/>
        <w:t xml:space="preserve">Метод </w:t>
      </w:r>
      <w:proofErr w:type="spellStart"/>
      <w:r w:rsidRPr="00CC0FDA">
        <w:rPr>
          <w:lang w:val="ru-RU"/>
        </w:rPr>
        <w:t>Ниблацка</w:t>
      </w:r>
      <w:proofErr w:type="spellEnd"/>
    </w:p>
    <w:p w14:paraId="4D8EC9F8" w14:textId="77777777" w:rsidR="0096471E" w:rsidRDefault="00000000">
      <w:pPr>
        <w:rPr>
          <w:lang w:val="ru-RU"/>
        </w:rPr>
      </w:pPr>
      <w:r w:rsidRPr="00CC0FDA">
        <w:rPr>
          <w:lang w:val="ru-RU"/>
        </w:rPr>
        <w:t xml:space="preserve">Метод </w:t>
      </w:r>
      <w:proofErr w:type="spellStart"/>
      <w:r w:rsidRPr="00CC0FDA">
        <w:rPr>
          <w:lang w:val="ru-RU"/>
        </w:rPr>
        <w:t>Ниблацка</w:t>
      </w:r>
      <w:proofErr w:type="spellEnd"/>
      <w:r w:rsidRPr="00CC0FDA">
        <w:rPr>
          <w:lang w:val="ru-RU"/>
        </w:rPr>
        <w:t xml:space="preserve"> использует локальное среднее значение яркости и среднеквадратическое отклонение в области вокруг пикселя. Порог вычисляется по формуле: </w:t>
      </w:r>
      <w:r>
        <w:t>T</w:t>
      </w:r>
      <w:r w:rsidRPr="00CC0FDA">
        <w:rPr>
          <w:lang w:val="ru-RU"/>
        </w:rPr>
        <w:t xml:space="preserve"> = </w:t>
      </w:r>
      <w:r>
        <w:t>m</w:t>
      </w:r>
      <w:r w:rsidRPr="00CC0FDA">
        <w:rPr>
          <w:lang w:val="ru-RU"/>
        </w:rPr>
        <w:t xml:space="preserve"> + </w:t>
      </w:r>
      <w:r>
        <w:t>k</w:t>
      </w:r>
      <w:r w:rsidRPr="00CC0FDA">
        <w:rPr>
          <w:lang w:val="ru-RU"/>
        </w:rPr>
        <w:t xml:space="preserve"> * </w:t>
      </w:r>
      <w:r>
        <w:t>s</w:t>
      </w:r>
      <w:r w:rsidRPr="00CC0FDA">
        <w:rPr>
          <w:lang w:val="ru-RU"/>
        </w:rPr>
        <w:t xml:space="preserve">, где </w:t>
      </w:r>
      <w:r>
        <w:t>m</w:t>
      </w:r>
      <w:r w:rsidRPr="00CC0FDA">
        <w:rPr>
          <w:lang w:val="ru-RU"/>
        </w:rPr>
        <w:t xml:space="preserve"> — локальное среднее, </w:t>
      </w:r>
      <w:r>
        <w:t>s</w:t>
      </w:r>
      <w:r w:rsidRPr="00CC0FDA">
        <w:rPr>
          <w:lang w:val="ru-RU"/>
        </w:rPr>
        <w:t xml:space="preserve"> — стандартное отклонение, а </w:t>
      </w:r>
      <w:r>
        <w:t>k</w:t>
      </w:r>
      <w:r w:rsidRPr="00CC0FDA">
        <w:rPr>
          <w:lang w:val="ru-RU"/>
        </w:rPr>
        <w:t xml:space="preserve"> — коэффициент, определяющий чувствительность алгоритма.</w:t>
      </w:r>
    </w:p>
    <w:p w14:paraId="47752FB8" w14:textId="75B470EB" w:rsidR="00CC0FDA" w:rsidRPr="00CC0FDA" w:rsidRDefault="00CC0FDA">
      <w:pPr>
        <w:rPr>
          <w:lang w:val="ru-RU"/>
        </w:rPr>
      </w:pPr>
      <w:r w:rsidRPr="005773E0">
        <w:drawing>
          <wp:inline distT="0" distB="0" distL="0" distR="0" wp14:anchorId="265CE7BA" wp14:editId="604996E0">
            <wp:extent cx="2195090" cy="4031226"/>
            <wp:effectExtent l="0" t="0" r="2540" b="0"/>
            <wp:docPr id="1334207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42072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218444" cy="4074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C0FDA" w:rsidRPr="00CC0FDA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71635708">
    <w:abstractNumId w:val="8"/>
  </w:num>
  <w:num w:numId="2" w16cid:durableId="1861117445">
    <w:abstractNumId w:val="6"/>
  </w:num>
  <w:num w:numId="3" w16cid:durableId="180357693">
    <w:abstractNumId w:val="5"/>
  </w:num>
  <w:num w:numId="4" w16cid:durableId="1816331445">
    <w:abstractNumId w:val="4"/>
  </w:num>
  <w:num w:numId="5" w16cid:durableId="1331249221">
    <w:abstractNumId w:val="7"/>
  </w:num>
  <w:num w:numId="6" w16cid:durableId="433675659">
    <w:abstractNumId w:val="3"/>
  </w:num>
  <w:num w:numId="7" w16cid:durableId="2042775546">
    <w:abstractNumId w:val="2"/>
  </w:num>
  <w:num w:numId="8" w16cid:durableId="966201919">
    <w:abstractNumId w:val="1"/>
  </w:num>
  <w:num w:numId="9" w16cid:durableId="17727042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9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E43EA"/>
    <w:rsid w:val="0015074B"/>
    <w:rsid w:val="0029639D"/>
    <w:rsid w:val="00326F90"/>
    <w:rsid w:val="00933F8D"/>
    <w:rsid w:val="0096471E"/>
    <w:rsid w:val="00AA1D8D"/>
    <w:rsid w:val="00B47730"/>
    <w:rsid w:val="00CB0664"/>
    <w:rsid w:val="00CC0FD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D8AEC70"/>
  <w14:defaultImageDpi w14:val="300"/>
  <w15:docId w15:val="{A81D3DD0-CD31-FD43-84D3-0A8EBE8BBA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215</Words>
  <Characters>1229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1442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Yaraslau Merynau</cp:lastModifiedBy>
  <cp:revision>2</cp:revision>
  <dcterms:created xsi:type="dcterms:W3CDTF">2025-11-21T15:28:00Z</dcterms:created>
  <dcterms:modified xsi:type="dcterms:W3CDTF">2025-11-21T15:28:00Z</dcterms:modified>
  <cp:category/>
</cp:coreProperties>
</file>