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E64AF" w14:textId="77777777" w:rsidR="0096471E" w:rsidRPr="00CC0FDA" w:rsidRDefault="00000000">
      <w:pPr>
        <w:pStyle w:val="Heading1"/>
        <w:rPr>
          <w:lang w:val="ru-RU"/>
        </w:rPr>
      </w:pPr>
      <w:bookmarkStart w:id="0" w:name="OLE_LINK4"/>
      <w:r w:rsidRPr="00CC0FDA">
        <w:rPr>
          <w:lang w:val="ru-RU"/>
        </w:rPr>
        <w:t>Отчет по лабораторной работе</w:t>
      </w:r>
    </w:p>
    <w:p w14:paraId="1F498B62" w14:textId="77777777" w:rsidR="0096471E" w:rsidRPr="00CC0FDA" w:rsidRDefault="00000000">
      <w:pPr>
        <w:pStyle w:val="Heading2"/>
        <w:rPr>
          <w:lang w:val="ru-RU"/>
        </w:rPr>
      </w:pPr>
      <w:r w:rsidRPr="00CC0FDA">
        <w:rPr>
          <w:lang w:val="ru-RU"/>
        </w:rPr>
        <w:t>Реализация низкочастотных фильтров – фильтр Гаусса</w:t>
      </w:r>
    </w:p>
    <w:p w14:paraId="6374E12D" w14:textId="77777777" w:rsidR="0096471E" w:rsidRPr="00CC0FDA" w:rsidRDefault="00000000">
      <w:pPr>
        <w:rPr>
          <w:lang w:val="ru-RU"/>
        </w:rPr>
      </w:pPr>
      <w:bookmarkStart w:id="1" w:name="OLE_LINK3"/>
      <w:r w:rsidRPr="00CC0FDA">
        <w:rPr>
          <w:lang w:val="ru-RU"/>
        </w:rPr>
        <w:t>Низкочастотные фильтры предназначены для сглаживания изображений и подавления высокочастотных составляющих. Одним из наиболее распространённых фильтров данного типа является фильтр Гаусса. Его особенность заключается в использовании двумерного гауссова ядра, которое обеспечивает естественное и плавное размывание изображения.</w:t>
      </w:r>
    </w:p>
    <w:p w14:paraId="15EF6C7E" w14:textId="77777777" w:rsidR="0096471E" w:rsidRDefault="00000000">
      <w:pPr>
        <w:rPr>
          <w:lang w:val="ru-RU"/>
        </w:rPr>
      </w:pPr>
      <w:r w:rsidRPr="00CC0FDA">
        <w:rPr>
          <w:lang w:val="ru-RU"/>
        </w:rPr>
        <w:t xml:space="preserve">Фильтр Гаусса основан на применении свёртки изображения с гауссовым ядром, значения которого зависят от параметра </w:t>
      </w:r>
      <w:r>
        <w:t>σ</w:t>
      </w:r>
      <w:r w:rsidRPr="00CC0FDA">
        <w:rPr>
          <w:lang w:val="ru-RU"/>
        </w:rPr>
        <w:t xml:space="preserve"> (сигма), определяющего степень размытия. Чем больше </w:t>
      </w:r>
      <w:r>
        <w:t>σ</w:t>
      </w:r>
      <w:r w:rsidRPr="00CC0FDA">
        <w:rPr>
          <w:lang w:val="ru-RU"/>
        </w:rPr>
        <w:t>, тем сильнее эффект сглаживания.</w:t>
      </w:r>
    </w:p>
    <w:bookmarkEnd w:id="0"/>
    <w:p w14:paraId="55C9DA4F" w14:textId="79121D60" w:rsidR="00CC0FDA" w:rsidRDefault="00CC0FDA">
      <w:pPr>
        <w:rPr>
          <w:lang w:val="ru-RU"/>
        </w:rPr>
      </w:pPr>
      <w:r w:rsidRPr="005773E0">
        <w:rPr>
          <w:noProof/>
        </w:rPr>
        <w:drawing>
          <wp:inline distT="0" distB="0" distL="0" distR="0" wp14:anchorId="46FDEA81" wp14:editId="67420C67">
            <wp:extent cx="2302799" cy="4475747"/>
            <wp:effectExtent l="0" t="0" r="0" b="0"/>
            <wp:docPr id="1504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0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19528" cy="4508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B8472" w14:textId="77777777" w:rsidR="00CC0FDA" w:rsidRDefault="00CC0FDA">
      <w:pPr>
        <w:rPr>
          <w:lang w:val="ru-RU"/>
        </w:rPr>
      </w:pPr>
    </w:p>
    <w:p w14:paraId="52FB3710" w14:textId="77777777" w:rsidR="00CC0FDA" w:rsidRPr="00CC0FDA" w:rsidRDefault="00CC0FDA">
      <w:pPr>
        <w:rPr>
          <w:lang w:val="ru-RU"/>
        </w:rPr>
      </w:pPr>
    </w:p>
    <w:p w14:paraId="1D21DBE4" w14:textId="77777777" w:rsidR="0096471E" w:rsidRPr="00CC0FDA" w:rsidRDefault="00000000">
      <w:pPr>
        <w:pStyle w:val="Heading2"/>
        <w:rPr>
          <w:lang w:val="ru-RU"/>
        </w:rPr>
      </w:pPr>
      <w:bookmarkStart w:id="2" w:name="OLE_LINK5"/>
      <w:bookmarkEnd w:id="1"/>
      <w:r w:rsidRPr="00CC0FDA">
        <w:rPr>
          <w:lang w:val="ru-RU"/>
        </w:rPr>
        <w:lastRenderedPageBreak/>
        <w:t>Локальная пороговая обработка</w:t>
      </w:r>
    </w:p>
    <w:p w14:paraId="786E24E4" w14:textId="7E3E39CF" w:rsidR="00CC0FDA" w:rsidRPr="00CC0FDA" w:rsidRDefault="00000000">
      <w:pPr>
        <w:rPr>
          <w:lang w:val="ru-RU"/>
        </w:rPr>
      </w:pPr>
      <w:r w:rsidRPr="00CC0FDA">
        <w:rPr>
          <w:lang w:val="ru-RU"/>
        </w:rPr>
        <w:t>Локальная пороговая обработка позволяет учитывать особенности яркости в различных областях изображения. В отличие от глобальной бинаризации, локальная использует небольшой окружающий окно пикселя регион и вычисляет порог для каждой локальной области.</w:t>
      </w:r>
    </w:p>
    <w:p w14:paraId="36ACD499" w14:textId="77777777" w:rsidR="0096471E" w:rsidRPr="00CC0FDA" w:rsidRDefault="00000000">
      <w:pPr>
        <w:pStyle w:val="Heading3"/>
        <w:rPr>
          <w:lang w:val="ru-RU"/>
        </w:rPr>
      </w:pPr>
      <w:r w:rsidRPr="00CC0FDA">
        <w:rPr>
          <w:lang w:val="ru-RU"/>
        </w:rPr>
        <w:t xml:space="preserve">Метод </w:t>
      </w:r>
      <w:proofErr w:type="spellStart"/>
      <w:r w:rsidRPr="00CC0FDA">
        <w:rPr>
          <w:lang w:val="ru-RU"/>
        </w:rPr>
        <w:t>Бернсена</w:t>
      </w:r>
      <w:proofErr w:type="spellEnd"/>
    </w:p>
    <w:p w14:paraId="1F64CEA5" w14:textId="77777777" w:rsidR="0096471E" w:rsidRDefault="00000000">
      <w:pPr>
        <w:rPr>
          <w:lang w:val="ru-RU"/>
        </w:rPr>
      </w:pPr>
      <w:r w:rsidRPr="00CC0FDA">
        <w:rPr>
          <w:lang w:val="ru-RU"/>
        </w:rPr>
        <w:t xml:space="preserve">Метод </w:t>
      </w:r>
      <w:proofErr w:type="spellStart"/>
      <w:r w:rsidRPr="00CC0FDA">
        <w:rPr>
          <w:lang w:val="ru-RU"/>
        </w:rPr>
        <w:t>Бернсена</w:t>
      </w:r>
      <w:proofErr w:type="spellEnd"/>
      <w:r w:rsidRPr="00CC0FDA">
        <w:rPr>
          <w:lang w:val="ru-RU"/>
        </w:rPr>
        <w:t xml:space="preserve"> основывается на анализе минимального и максимального значений яркости в локальном окне. Порог вычисляется как среднее между этими значениями. Если контраст в окне ниже заданного порога, пиксель может считаться фоном.</w:t>
      </w:r>
    </w:p>
    <w:bookmarkEnd w:id="2"/>
    <w:p w14:paraId="1894157F" w14:textId="29A8AC6F" w:rsidR="00CC0FDA" w:rsidRDefault="00CC0FDA">
      <w:pPr>
        <w:rPr>
          <w:lang w:val="ru-RU"/>
        </w:rPr>
      </w:pPr>
      <w:r w:rsidRPr="005773E0">
        <w:rPr>
          <w:noProof/>
        </w:rPr>
        <w:drawing>
          <wp:inline distT="0" distB="0" distL="0" distR="0" wp14:anchorId="46EBD865" wp14:editId="47F4028D">
            <wp:extent cx="2674276" cy="5093110"/>
            <wp:effectExtent l="0" t="0" r="5715" b="0"/>
            <wp:docPr id="2005376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762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8499" cy="5120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E21AC" w14:textId="77777777" w:rsidR="00CC0FDA" w:rsidRDefault="00CC0FDA">
      <w:pPr>
        <w:rPr>
          <w:lang w:val="ru-RU"/>
        </w:rPr>
      </w:pPr>
    </w:p>
    <w:p w14:paraId="3C0831F0" w14:textId="77777777" w:rsidR="00CC0FDA" w:rsidRPr="00CC0FDA" w:rsidRDefault="00CC0FDA">
      <w:pPr>
        <w:rPr>
          <w:lang w:val="ru-RU"/>
        </w:rPr>
      </w:pPr>
    </w:p>
    <w:p w14:paraId="79585A58" w14:textId="77777777" w:rsidR="0096471E" w:rsidRPr="00CC0FDA" w:rsidRDefault="00000000">
      <w:pPr>
        <w:pStyle w:val="Heading3"/>
        <w:rPr>
          <w:lang w:val="ru-RU"/>
        </w:rPr>
      </w:pPr>
      <w:bookmarkStart w:id="3" w:name="OLE_LINK6"/>
      <w:r w:rsidRPr="00CC0FDA">
        <w:rPr>
          <w:lang w:val="ru-RU"/>
        </w:rPr>
        <w:lastRenderedPageBreak/>
        <w:t xml:space="preserve">Метод </w:t>
      </w:r>
      <w:proofErr w:type="spellStart"/>
      <w:r w:rsidRPr="00CC0FDA">
        <w:rPr>
          <w:lang w:val="ru-RU"/>
        </w:rPr>
        <w:t>Ниблацка</w:t>
      </w:r>
      <w:proofErr w:type="spellEnd"/>
    </w:p>
    <w:p w14:paraId="4D8EC9F8" w14:textId="77777777" w:rsidR="0096471E" w:rsidRDefault="00000000">
      <w:pPr>
        <w:rPr>
          <w:lang w:val="ru-RU"/>
        </w:rPr>
      </w:pPr>
      <w:r w:rsidRPr="00CC0FDA">
        <w:rPr>
          <w:lang w:val="ru-RU"/>
        </w:rPr>
        <w:t xml:space="preserve">Метод </w:t>
      </w:r>
      <w:proofErr w:type="spellStart"/>
      <w:r w:rsidRPr="00CC0FDA">
        <w:rPr>
          <w:lang w:val="ru-RU"/>
        </w:rPr>
        <w:t>Ниблацка</w:t>
      </w:r>
      <w:proofErr w:type="spellEnd"/>
      <w:r w:rsidRPr="00CC0FDA">
        <w:rPr>
          <w:lang w:val="ru-RU"/>
        </w:rPr>
        <w:t xml:space="preserve"> использует локальное среднее значение яркости и среднеквадратическое отклонение в области вокруг пикселя. Порог вычисляется по формуле: </w:t>
      </w:r>
      <w:r>
        <w:t>T</w:t>
      </w:r>
      <w:r w:rsidRPr="00CC0FDA">
        <w:rPr>
          <w:lang w:val="ru-RU"/>
        </w:rPr>
        <w:t xml:space="preserve"> = </w:t>
      </w:r>
      <w:r>
        <w:t>m</w:t>
      </w:r>
      <w:r w:rsidRPr="00CC0FDA">
        <w:rPr>
          <w:lang w:val="ru-RU"/>
        </w:rPr>
        <w:t xml:space="preserve"> + </w:t>
      </w:r>
      <w:r>
        <w:t>k</w:t>
      </w:r>
      <w:r w:rsidRPr="00CC0FDA">
        <w:rPr>
          <w:lang w:val="ru-RU"/>
        </w:rPr>
        <w:t xml:space="preserve"> * </w:t>
      </w:r>
      <w:r>
        <w:t>s</w:t>
      </w:r>
      <w:r w:rsidRPr="00CC0FDA">
        <w:rPr>
          <w:lang w:val="ru-RU"/>
        </w:rPr>
        <w:t xml:space="preserve">, где </w:t>
      </w:r>
      <w:r>
        <w:t>m</w:t>
      </w:r>
      <w:r w:rsidRPr="00CC0FDA">
        <w:rPr>
          <w:lang w:val="ru-RU"/>
        </w:rPr>
        <w:t xml:space="preserve"> — локальное среднее, </w:t>
      </w:r>
      <w:r>
        <w:t>s</w:t>
      </w:r>
      <w:r w:rsidRPr="00CC0FDA">
        <w:rPr>
          <w:lang w:val="ru-RU"/>
        </w:rPr>
        <w:t xml:space="preserve"> — стандартное отклонение, а </w:t>
      </w:r>
      <w:r>
        <w:t>k</w:t>
      </w:r>
      <w:r w:rsidRPr="00CC0FDA">
        <w:rPr>
          <w:lang w:val="ru-RU"/>
        </w:rPr>
        <w:t xml:space="preserve"> — коэффициент, определяющий чувствительность алгоритма.</w:t>
      </w:r>
    </w:p>
    <w:bookmarkEnd w:id="3"/>
    <w:p w14:paraId="47752FB8" w14:textId="75B470EB" w:rsidR="00CC0FDA" w:rsidRDefault="00CC0FDA">
      <w:r w:rsidRPr="005773E0">
        <w:rPr>
          <w:noProof/>
        </w:rPr>
        <w:drawing>
          <wp:inline distT="0" distB="0" distL="0" distR="0" wp14:anchorId="265CE7BA" wp14:editId="604996E0">
            <wp:extent cx="2195090" cy="4031226"/>
            <wp:effectExtent l="0" t="0" r="2540" b="0"/>
            <wp:docPr id="133420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07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8444" cy="407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FCBB2" w14:textId="0C55A25A" w:rsidR="0019289A" w:rsidRPr="004363AC" w:rsidRDefault="0019289A" w:rsidP="0019289A">
      <w:pPr>
        <w:pStyle w:val="NormalWeb"/>
        <w:rPr>
          <w:rFonts w:asciiTheme="majorHAnsi" w:hAnsiTheme="majorHAnsi" w:cstheme="majorHAnsi"/>
          <w:color w:val="4F81BD" w:themeColor="accent1"/>
          <w:sz w:val="26"/>
          <w:szCs w:val="26"/>
          <w:lang w:val="ru-RU"/>
        </w:rPr>
      </w:pPr>
      <w:r w:rsidRPr="004363AC">
        <w:rPr>
          <w:rFonts w:asciiTheme="majorHAnsi" w:hAnsiTheme="majorHAnsi" w:cstheme="majorHAnsi"/>
          <w:color w:val="4F81BD" w:themeColor="accent1"/>
          <w:sz w:val="26"/>
          <w:szCs w:val="26"/>
          <w:lang w:val="ru-RU"/>
        </w:rPr>
        <w:t>Выво</w:t>
      </w:r>
      <w:r w:rsidRPr="004363AC">
        <w:rPr>
          <w:rFonts w:asciiTheme="majorHAnsi" w:hAnsiTheme="majorHAnsi" w:cstheme="majorHAnsi"/>
          <w:color w:val="4F81BD" w:themeColor="accent1"/>
          <w:sz w:val="26"/>
          <w:szCs w:val="26"/>
          <w:lang w:val="ru-RU"/>
        </w:rPr>
        <w:t>д:</w:t>
      </w:r>
    </w:p>
    <w:p w14:paraId="077F8BDC" w14:textId="1E8F9482" w:rsidR="0019289A" w:rsidRPr="000F1073" w:rsidRDefault="0019289A" w:rsidP="0019289A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0F1073">
        <w:rPr>
          <w:rFonts w:asciiTheme="majorHAnsi" w:hAnsiTheme="majorHAnsi" w:cstheme="majorHAnsi"/>
          <w:sz w:val="22"/>
          <w:szCs w:val="22"/>
          <w:lang w:val="ru-RU"/>
        </w:rPr>
        <w:t xml:space="preserve">В ходе выполнения лабораторной работы были изучены и реализованы ключевые методы сглаживания и локальной пороговой обработки изображений. Низкочастотная фильтрация на основе гауссова ядра продемонстрировала свою эффективность для подавления шумов и сглаживания высокочастотных переходов без значительной потери деталей. Применение локальных пороговых методов — </w:t>
      </w:r>
      <w:proofErr w:type="spellStart"/>
      <w:r w:rsidRPr="000F1073">
        <w:rPr>
          <w:rFonts w:asciiTheme="majorHAnsi" w:hAnsiTheme="majorHAnsi" w:cstheme="majorHAnsi"/>
          <w:sz w:val="22"/>
          <w:szCs w:val="22"/>
          <w:lang w:val="ru-RU"/>
        </w:rPr>
        <w:t>Бернсена</w:t>
      </w:r>
      <w:proofErr w:type="spellEnd"/>
      <w:r w:rsidRPr="000F1073">
        <w:rPr>
          <w:rFonts w:asciiTheme="majorHAnsi" w:hAnsiTheme="majorHAnsi" w:cstheme="majorHAnsi"/>
          <w:sz w:val="22"/>
          <w:szCs w:val="22"/>
          <w:lang w:val="ru-RU"/>
        </w:rPr>
        <w:t xml:space="preserve"> и </w:t>
      </w:r>
      <w:proofErr w:type="spellStart"/>
      <w:r w:rsidRPr="000F1073">
        <w:rPr>
          <w:rFonts w:asciiTheme="majorHAnsi" w:hAnsiTheme="majorHAnsi" w:cstheme="majorHAnsi"/>
          <w:sz w:val="22"/>
          <w:szCs w:val="22"/>
          <w:lang w:val="ru-RU"/>
        </w:rPr>
        <w:t>Ниблацка</w:t>
      </w:r>
      <w:proofErr w:type="spellEnd"/>
      <w:r w:rsidRPr="000F1073">
        <w:rPr>
          <w:rFonts w:asciiTheme="majorHAnsi" w:hAnsiTheme="majorHAnsi" w:cstheme="majorHAnsi"/>
          <w:sz w:val="22"/>
          <w:szCs w:val="22"/>
          <w:lang w:val="ru-RU"/>
        </w:rPr>
        <w:t xml:space="preserve"> — позволило убедиться в преимуществах адаптивной бинаризации при работе с изображениями, содержащими неравномерное освещение или переменный контраст. Метод </w:t>
      </w:r>
      <w:proofErr w:type="spellStart"/>
      <w:r w:rsidRPr="000F1073">
        <w:rPr>
          <w:rFonts w:asciiTheme="majorHAnsi" w:hAnsiTheme="majorHAnsi" w:cstheme="majorHAnsi"/>
          <w:sz w:val="22"/>
          <w:szCs w:val="22"/>
          <w:lang w:val="ru-RU"/>
        </w:rPr>
        <w:t>Бернсена</w:t>
      </w:r>
      <w:proofErr w:type="spellEnd"/>
      <w:r w:rsidRPr="000F1073">
        <w:rPr>
          <w:rFonts w:asciiTheme="majorHAnsi" w:hAnsiTheme="majorHAnsi" w:cstheme="majorHAnsi"/>
          <w:sz w:val="22"/>
          <w:szCs w:val="22"/>
          <w:lang w:val="ru-RU"/>
        </w:rPr>
        <w:t xml:space="preserve"> показал простоту и устойчивость к локальным перепадам яркости, в то время как метод </w:t>
      </w:r>
      <w:proofErr w:type="spellStart"/>
      <w:r w:rsidRPr="000F1073">
        <w:rPr>
          <w:rFonts w:asciiTheme="majorHAnsi" w:hAnsiTheme="majorHAnsi" w:cstheme="majorHAnsi"/>
          <w:sz w:val="22"/>
          <w:szCs w:val="22"/>
          <w:lang w:val="ru-RU"/>
        </w:rPr>
        <w:t>Ниблацка</w:t>
      </w:r>
      <w:proofErr w:type="spellEnd"/>
      <w:r w:rsidRPr="000F1073">
        <w:rPr>
          <w:rFonts w:asciiTheme="majorHAnsi" w:hAnsiTheme="majorHAnsi" w:cstheme="majorHAnsi"/>
          <w:sz w:val="22"/>
          <w:szCs w:val="22"/>
          <w:lang w:val="ru-RU"/>
        </w:rPr>
        <w:t xml:space="preserve"> обеспечил более гибкую и точную бинаризацию за счёт использования статистических характеристик локального окна. </w:t>
      </w:r>
    </w:p>
    <w:sectPr w:rsidR="0019289A" w:rsidRPr="000F10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1635708">
    <w:abstractNumId w:val="8"/>
  </w:num>
  <w:num w:numId="2" w16cid:durableId="1861117445">
    <w:abstractNumId w:val="6"/>
  </w:num>
  <w:num w:numId="3" w16cid:durableId="180357693">
    <w:abstractNumId w:val="5"/>
  </w:num>
  <w:num w:numId="4" w16cid:durableId="1816331445">
    <w:abstractNumId w:val="4"/>
  </w:num>
  <w:num w:numId="5" w16cid:durableId="1331249221">
    <w:abstractNumId w:val="7"/>
  </w:num>
  <w:num w:numId="6" w16cid:durableId="433675659">
    <w:abstractNumId w:val="3"/>
  </w:num>
  <w:num w:numId="7" w16cid:durableId="2042775546">
    <w:abstractNumId w:val="2"/>
  </w:num>
  <w:num w:numId="8" w16cid:durableId="966201919">
    <w:abstractNumId w:val="1"/>
  </w:num>
  <w:num w:numId="9" w16cid:durableId="1772704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43EA"/>
    <w:rsid w:val="000F1073"/>
    <w:rsid w:val="0015074B"/>
    <w:rsid w:val="0019289A"/>
    <w:rsid w:val="0029639D"/>
    <w:rsid w:val="00326F90"/>
    <w:rsid w:val="004363AC"/>
    <w:rsid w:val="00591B4B"/>
    <w:rsid w:val="00884A7B"/>
    <w:rsid w:val="00933F8D"/>
    <w:rsid w:val="0096471E"/>
    <w:rsid w:val="00AA1D8D"/>
    <w:rsid w:val="00B411B2"/>
    <w:rsid w:val="00B47730"/>
    <w:rsid w:val="00CB0664"/>
    <w:rsid w:val="00CC0FDA"/>
    <w:rsid w:val="00F40E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8AEC70"/>
  <w14:defaultImageDpi w14:val="300"/>
  <w15:docId w15:val="{A81D3DD0-CD31-FD43-84D3-0A8EBE8BB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1928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Yaraslau Merynau</cp:lastModifiedBy>
  <cp:revision>2</cp:revision>
  <dcterms:created xsi:type="dcterms:W3CDTF">2025-11-21T15:40:00Z</dcterms:created>
  <dcterms:modified xsi:type="dcterms:W3CDTF">2025-11-21T15:40:00Z</dcterms:modified>
  <cp:category/>
</cp:coreProperties>
</file>