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276" w:rsidRPr="00AA7276" w:rsidRDefault="00AA7276" w:rsidP="00AA7276">
      <w:pPr>
        <w:spacing w:after="0" w:line="240" w:lineRule="auto"/>
        <w:outlineLvl w:val="0"/>
        <w:rPr>
          <w:rFonts w:ascii="Georgia" w:eastAsia="Times New Roman" w:hAnsi="Georgia" w:cs="Times New Roman"/>
          <w:kern w:val="36"/>
          <w:sz w:val="43"/>
          <w:szCs w:val="43"/>
        </w:rPr>
      </w:pPr>
      <w:r w:rsidRPr="00AA7276">
        <w:rPr>
          <w:rFonts w:ascii="Georgia" w:eastAsia="Times New Roman" w:hAnsi="Georgia" w:cs="Times New Roman"/>
          <w:kern w:val="36"/>
          <w:sz w:val="43"/>
          <w:szCs w:val="43"/>
        </w:rPr>
        <w:t>City quality of life indices</w:t>
      </w:r>
    </w:p>
    <w:p w:rsidR="00AA7276" w:rsidRPr="00AA7276" w:rsidRDefault="00AA7276" w:rsidP="00AA7276">
      <w:pPr>
        <w:spacing w:after="0" w:line="240" w:lineRule="auto"/>
        <w:rPr>
          <w:rFonts w:ascii="Times New Roman" w:eastAsia="Times New Roman" w:hAnsi="Times New Roman" w:cs="Times New Roman"/>
          <w:sz w:val="24"/>
          <w:szCs w:val="24"/>
        </w:rPr>
      </w:pPr>
      <w:r w:rsidRPr="00AA7276">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17.25pt" o:ole="">
            <v:imagedata r:id="rId5" o:title=""/>
          </v:shape>
          <w:control r:id="rId6" w:name="DefaultOcxName" w:shapeid="_x0000_i1030"/>
        </w:object>
      </w:r>
      <w:r w:rsidRPr="00AA7276">
        <w:rPr>
          <w:rFonts w:ascii="Times New Roman" w:eastAsia="Times New Roman" w:hAnsi="Times New Roman" w:cs="Times New Roman"/>
          <w:sz w:val="21"/>
          <w:szCs w:val="21"/>
        </w:rPr>
        <w:t>14 languages</w:t>
      </w:r>
    </w:p>
    <w:p w:rsidR="00AA7276" w:rsidRPr="00AA7276" w:rsidRDefault="00AA7276" w:rsidP="00AA7276">
      <w:pPr>
        <w:numPr>
          <w:ilvl w:val="0"/>
          <w:numId w:val="1"/>
        </w:numPr>
        <w:shd w:val="clear" w:color="auto" w:fill="FFFFFF"/>
        <w:spacing w:after="0" w:line="240" w:lineRule="auto"/>
        <w:ind w:left="0" w:right="120"/>
        <w:rPr>
          <w:rFonts w:ascii="Arial" w:eastAsia="Times New Roman" w:hAnsi="Arial" w:cs="Arial"/>
          <w:color w:val="202122"/>
          <w:sz w:val="24"/>
          <w:szCs w:val="24"/>
        </w:rPr>
      </w:pPr>
      <w:hyperlink r:id="rId7" w:tooltip="View the content page [alt-shift-c]" w:history="1">
        <w:r w:rsidRPr="00AA7276">
          <w:rPr>
            <w:rFonts w:ascii="Arial" w:eastAsia="Times New Roman" w:hAnsi="Arial" w:cs="Arial"/>
            <w:color w:val="0000FF"/>
            <w:sz w:val="24"/>
            <w:szCs w:val="24"/>
            <w:u w:val="single"/>
          </w:rPr>
          <w:t>Article</w:t>
        </w:r>
      </w:hyperlink>
    </w:p>
    <w:p w:rsidR="00AA7276" w:rsidRPr="00AA7276" w:rsidRDefault="00AA7276" w:rsidP="00AA7276">
      <w:pPr>
        <w:numPr>
          <w:ilvl w:val="0"/>
          <w:numId w:val="1"/>
        </w:numPr>
        <w:shd w:val="clear" w:color="auto" w:fill="FFFFFF"/>
        <w:spacing w:after="0" w:line="240" w:lineRule="auto"/>
        <w:ind w:left="0" w:right="120"/>
        <w:rPr>
          <w:rFonts w:ascii="Arial" w:eastAsia="Times New Roman" w:hAnsi="Arial" w:cs="Arial"/>
          <w:color w:val="202122"/>
          <w:sz w:val="24"/>
          <w:szCs w:val="24"/>
        </w:rPr>
      </w:pPr>
      <w:hyperlink r:id="rId8" w:tooltip="Discuss improvements to the content page [alt-shift-t]" w:history="1">
        <w:r w:rsidRPr="00AA7276">
          <w:rPr>
            <w:rFonts w:ascii="Arial" w:eastAsia="Times New Roman" w:hAnsi="Arial" w:cs="Arial"/>
            <w:color w:val="0000FF"/>
            <w:sz w:val="24"/>
            <w:szCs w:val="24"/>
            <w:u w:val="single"/>
          </w:rPr>
          <w:t>Talk</w:t>
        </w:r>
      </w:hyperlink>
    </w:p>
    <w:p w:rsidR="00AA7276" w:rsidRPr="00AA7276" w:rsidRDefault="00AA7276" w:rsidP="00AA7276">
      <w:pPr>
        <w:numPr>
          <w:ilvl w:val="0"/>
          <w:numId w:val="2"/>
        </w:numPr>
        <w:shd w:val="clear" w:color="auto" w:fill="FFFFFF"/>
        <w:spacing w:after="0" w:line="240" w:lineRule="auto"/>
        <w:ind w:left="120"/>
        <w:rPr>
          <w:rFonts w:ascii="Arial" w:eastAsia="Times New Roman" w:hAnsi="Arial" w:cs="Arial"/>
          <w:color w:val="202122"/>
          <w:sz w:val="24"/>
          <w:szCs w:val="24"/>
        </w:rPr>
      </w:pPr>
      <w:hyperlink r:id="rId9" w:history="1">
        <w:r w:rsidRPr="00AA7276">
          <w:rPr>
            <w:rFonts w:ascii="Arial" w:eastAsia="Times New Roman" w:hAnsi="Arial" w:cs="Arial"/>
            <w:color w:val="0000FF"/>
            <w:sz w:val="24"/>
            <w:szCs w:val="24"/>
            <w:u w:val="single"/>
          </w:rPr>
          <w:t>Read</w:t>
        </w:r>
      </w:hyperlink>
    </w:p>
    <w:p w:rsidR="00AA7276" w:rsidRPr="00AA7276" w:rsidRDefault="00AA7276" w:rsidP="00AA7276">
      <w:pPr>
        <w:numPr>
          <w:ilvl w:val="0"/>
          <w:numId w:val="2"/>
        </w:numPr>
        <w:shd w:val="clear" w:color="auto" w:fill="FFFFFF"/>
        <w:spacing w:after="0" w:line="240" w:lineRule="auto"/>
        <w:ind w:left="120"/>
        <w:rPr>
          <w:rFonts w:ascii="Arial" w:eastAsia="Times New Roman" w:hAnsi="Arial" w:cs="Arial"/>
          <w:color w:val="202122"/>
          <w:sz w:val="24"/>
          <w:szCs w:val="24"/>
        </w:rPr>
      </w:pPr>
      <w:hyperlink r:id="rId10" w:tooltip="Edit this page [alt-shift-e]" w:history="1">
        <w:r w:rsidRPr="00AA7276">
          <w:rPr>
            <w:rFonts w:ascii="Arial" w:eastAsia="Times New Roman" w:hAnsi="Arial" w:cs="Arial"/>
            <w:color w:val="0000FF"/>
            <w:sz w:val="24"/>
            <w:szCs w:val="24"/>
            <w:u w:val="single"/>
          </w:rPr>
          <w:t>Edit</w:t>
        </w:r>
      </w:hyperlink>
    </w:p>
    <w:p w:rsidR="00AA7276" w:rsidRPr="00AA7276" w:rsidRDefault="00AA7276" w:rsidP="00AA7276">
      <w:pPr>
        <w:numPr>
          <w:ilvl w:val="0"/>
          <w:numId w:val="2"/>
        </w:numPr>
        <w:shd w:val="clear" w:color="auto" w:fill="FFFFFF"/>
        <w:spacing w:after="0" w:line="240" w:lineRule="auto"/>
        <w:ind w:left="120"/>
        <w:rPr>
          <w:rFonts w:ascii="Arial" w:eastAsia="Times New Roman" w:hAnsi="Arial" w:cs="Arial"/>
          <w:color w:val="202122"/>
          <w:sz w:val="24"/>
          <w:szCs w:val="24"/>
        </w:rPr>
      </w:pPr>
      <w:hyperlink r:id="rId11" w:tooltip="Past revisions of this page [alt-shift-h]" w:history="1">
        <w:r w:rsidRPr="00AA7276">
          <w:rPr>
            <w:rFonts w:ascii="Arial" w:eastAsia="Times New Roman" w:hAnsi="Arial" w:cs="Arial"/>
            <w:color w:val="0000FF"/>
            <w:sz w:val="24"/>
            <w:szCs w:val="24"/>
            <w:u w:val="single"/>
          </w:rPr>
          <w:t>View history</w:t>
        </w:r>
      </w:hyperlink>
    </w:p>
    <w:bookmarkStart w:id="0" w:name="_GoBack"/>
    <w:p w:rsidR="00AA7276" w:rsidRPr="00AA7276" w:rsidRDefault="00AA7276" w:rsidP="00AA7276">
      <w:pPr>
        <w:shd w:val="clear" w:color="auto" w:fill="FFFFFF"/>
        <w:spacing w:after="0" w:line="240" w:lineRule="auto"/>
        <w:rPr>
          <w:rFonts w:ascii="Arial" w:eastAsia="Times New Roman" w:hAnsi="Arial" w:cs="Arial"/>
          <w:color w:val="202122"/>
          <w:sz w:val="24"/>
          <w:szCs w:val="24"/>
        </w:rPr>
      </w:pPr>
      <w:r w:rsidRPr="00AA7276">
        <w:rPr>
          <w:rFonts w:ascii="Arial" w:eastAsia="Times New Roman" w:hAnsi="Arial" w:cs="Arial"/>
          <w:color w:val="202122"/>
          <w:sz w:val="24"/>
          <w:szCs w:val="24"/>
        </w:rPr>
        <w:object w:dxaOrig="225" w:dyaOrig="225">
          <v:shape id="_x0000_i1031" type="#_x0000_t75" style="width:20.25pt;height:17.25pt" o:ole="">
            <v:imagedata r:id="rId5" o:title=""/>
          </v:shape>
          <w:control r:id="rId12" w:name="DefaultOcxName1" w:shapeid="_x0000_i1031"/>
        </w:object>
      </w:r>
      <w:bookmarkEnd w:id="0"/>
      <w:r w:rsidRPr="00AA7276">
        <w:rPr>
          <w:rFonts w:ascii="Arial" w:eastAsia="Times New Roman" w:hAnsi="Arial" w:cs="Arial"/>
          <w:color w:val="202122"/>
          <w:sz w:val="24"/>
          <w:szCs w:val="24"/>
        </w:rPr>
        <w:t>From Wikipedia, the free encyclopedia</w:t>
      </w:r>
    </w:p>
    <w:p w:rsidR="00AA7276" w:rsidRPr="00AA7276" w:rsidRDefault="00AA7276" w:rsidP="00AA7276">
      <w:pPr>
        <w:shd w:val="clear" w:color="auto" w:fill="FFFFFF"/>
        <w:spacing w:after="0" w:line="240" w:lineRule="auto"/>
        <w:rPr>
          <w:rFonts w:ascii="Arial" w:eastAsia="Times New Roman" w:hAnsi="Arial" w:cs="Arial"/>
          <w:color w:val="202122"/>
          <w:sz w:val="24"/>
          <w:szCs w:val="24"/>
          <w:lang w:val="en"/>
        </w:rPr>
      </w:pPr>
      <w:r w:rsidRPr="00AA7276">
        <w:rPr>
          <w:rFonts w:ascii="Arial" w:eastAsia="Times New Roman" w:hAnsi="Arial" w:cs="Arial"/>
          <w:b/>
          <w:bCs/>
          <w:color w:val="202122"/>
          <w:sz w:val="24"/>
          <w:szCs w:val="24"/>
          <w:lang w:val="en"/>
        </w:rPr>
        <w:t>City quality of life indices</w:t>
      </w:r>
      <w:r w:rsidRPr="00AA7276">
        <w:rPr>
          <w:rFonts w:ascii="Arial" w:eastAsia="Times New Roman" w:hAnsi="Arial" w:cs="Arial"/>
          <w:color w:val="202122"/>
          <w:sz w:val="24"/>
          <w:szCs w:val="24"/>
          <w:lang w:val="en"/>
        </w:rPr>
        <w:t> are </w:t>
      </w:r>
      <w:hyperlink r:id="rId13" w:tooltip="List of cities" w:history="1">
        <w:r w:rsidRPr="00AA7276">
          <w:rPr>
            <w:rFonts w:ascii="Arial" w:eastAsia="Times New Roman" w:hAnsi="Arial" w:cs="Arial"/>
            <w:color w:val="0000FF"/>
            <w:sz w:val="24"/>
            <w:szCs w:val="24"/>
            <w:u w:val="single"/>
            <w:lang w:val="en"/>
          </w:rPr>
          <w:t>lists of cities</w:t>
        </w:r>
      </w:hyperlink>
      <w:r w:rsidRPr="00AA7276">
        <w:rPr>
          <w:rFonts w:ascii="Arial" w:eastAsia="Times New Roman" w:hAnsi="Arial" w:cs="Arial"/>
          <w:color w:val="202122"/>
          <w:sz w:val="24"/>
          <w:szCs w:val="24"/>
          <w:lang w:val="en"/>
        </w:rPr>
        <w:t> that are ranked according to a defined measure of </w:t>
      </w:r>
      <w:hyperlink r:id="rId14" w:tooltip="Standard of living" w:history="1">
        <w:r w:rsidRPr="00AA7276">
          <w:rPr>
            <w:rFonts w:ascii="Arial" w:eastAsia="Times New Roman" w:hAnsi="Arial" w:cs="Arial"/>
            <w:color w:val="0000FF"/>
            <w:sz w:val="24"/>
            <w:szCs w:val="24"/>
            <w:u w:val="single"/>
            <w:lang w:val="en"/>
          </w:rPr>
          <w:t>living conditions</w:t>
        </w:r>
      </w:hyperlink>
      <w:r w:rsidRPr="00AA7276">
        <w:rPr>
          <w:rFonts w:ascii="Arial" w:eastAsia="Times New Roman" w:hAnsi="Arial" w:cs="Arial"/>
          <w:color w:val="202122"/>
          <w:sz w:val="24"/>
          <w:szCs w:val="24"/>
          <w:lang w:val="en"/>
        </w:rPr>
        <w:t>. In addition to considering the provision of clean water, clean air, adequate food and shelter, many indexes also measure more subjective elements including a city's capacity to generate a sense of community and offer hospitable settings for all, especially young people, to develop social skills, a sense of autonomy and identity.</w:t>
      </w:r>
      <w:hyperlink r:id="rId15" w:anchor="cite_note-1" w:history="1">
        <w:r w:rsidRPr="00AA7276">
          <w:rPr>
            <w:rFonts w:ascii="Arial" w:eastAsia="Times New Roman" w:hAnsi="Arial" w:cs="Arial"/>
            <w:color w:val="0000FF"/>
            <w:sz w:val="17"/>
            <w:szCs w:val="17"/>
            <w:u w:val="single"/>
            <w:vertAlign w:val="superscript"/>
            <w:lang w:val="en"/>
          </w:rPr>
          <w:t>[1]</w:t>
        </w:r>
      </w:hyperlink>
    </w:p>
    <w:p w:rsidR="00AA7276" w:rsidRPr="00AA7276" w:rsidRDefault="00AA7276" w:rsidP="00AA7276">
      <w:pPr>
        <w:shd w:val="clear" w:color="auto" w:fill="FFFFFF"/>
        <w:spacing w:before="120" w:after="0" w:line="240" w:lineRule="auto"/>
        <w:rPr>
          <w:rFonts w:ascii="Arial" w:eastAsia="Times New Roman" w:hAnsi="Arial" w:cs="Arial"/>
          <w:color w:val="202122"/>
          <w:sz w:val="24"/>
          <w:szCs w:val="24"/>
          <w:lang w:val="en"/>
        </w:rPr>
      </w:pPr>
      <w:r w:rsidRPr="00AA7276">
        <w:rPr>
          <w:rFonts w:ascii="Arial" w:eastAsia="Times New Roman" w:hAnsi="Arial" w:cs="Arial"/>
          <w:color w:val="202122"/>
          <w:sz w:val="24"/>
          <w:szCs w:val="24"/>
          <w:lang w:val="en"/>
        </w:rPr>
        <w:t>Regions with cities commonly ranked in the top 50 include </w:t>
      </w:r>
      <w:hyperlink r:id="rId16" w:tooltip="Canada" w:history="1">
        <w:r w:rsidRPr="00AA7276">
          <w:rPr>
            <w:rFonts w:ascii="Arial" w:eastAsia="Times New Roman" w:hAnsi="Arial" w:cs="Arial"/>
            <w:color w:val="0000FF"/>
            <w:sz w:val="24"/>
            <w:szCs w:val="24"/>
            <w:u w:val="single"/>
            <w:lang w:val="en"/>
          </w:rPr>
          <w:t>Canada</w:t>
        </w:r>
      </w:hyperlink>
      <w:r w:rsidRPr="00AA7276">
        <w:rPr>
          <w:rFonts w:ascii="Arial" w:eastAsia="Times New Roman" w:hAnsi="Arial" w:cs="Arial"/>
          <w:color w:val="202122"/>
          <w:sz w:val="24"/>
          <w:szCs w:val="24"/>
          <w:lang w:val="en"/>
        </w:rPr>
        <w:t>, </w:t>
      </w:r>
      <w:hyperlink r:id="rId17" w:tooltip="Western Europe" w:history="1">
        <w:r w:rsidRPr="00AA7276">
          <w:rPr>
            <w:rFonts w:ascii="Arial" w:eastAsia="Times New Roman" w:hAnsi="Arial" w:cs="Arial"/>
            <w:color w:val="0000FF"/>
            <w:sz w:val="24"/>
            <w:szCs w:val="24"/>
            <w:u w:val="single"/>
            <w:lang w:val="en"/>
          </w:rPr>
          <w:t>Western Europe</w:t>
        </w:r>
      </w:hyperlink>
      <w:r w:rsidRPr="00AA7276">
        <w:rPr>
          <w:rFonts w:ascii="Arial" w:eastAsia="Times New Roman" w:hAnsi="Arial" w:cs="Arial"/>
          <w:color w:val="202122"/>
          <w:sz w:val="24"/>
          <w:szCs w:val="24"/>
          <w:lang w:val="en"/>
        </w:rPr>
        <w:t>, </w:t>
      </w:r>
      <w:hyperlink r:id="rId18" w:tooltip="United States" w:history="1">
        <w:r w:rsidRPr="00AA7276">
          <w:rPr>
            <w:rFonts w:ascii="Arial" w:eastAsia="Times New Roman" w:hAnsi="Arial" w:cs="Arial"/>
            <w:color w:val="0000FF"/>
            <w:sz w:val="24"/>
            <w:szCs w:val="24"/>
            <w:u w:val="single"/>
            <w:lang w:val="en"/>
          </w:rPr>
          <w:t>United States</w:t>
        </w:r>
      </w:hyperlink>
      <w:r w:rsidRPr="00AA7276">
        <w:rPr>
          <w:rFonts w:ascii="Arial" w:eastAsia="Times New Roman" w:hAnsi="Arial" w:cs="Arial"/>
          <w:color w:val="202122"/>
          <w:sz w:val="24"/>
          <w:szCs w:val="24"/>
          <w:lang w:val="en"/>
        </w:rPr>
        <w:t>, </w:t>
      </w:r>
      <w:hyperlink r:id="rId19" w:tooltip="Australia" w:history="1">
        <w:r w:rsidRPr="00AA7276">
          <w:rPr>
            <w:rFonts w:ascii="Arial" w:eastAsia="Times New Roman" w:hAnsi="Arial" w:cs="Arial"/>
            <w:color w:val="0000FF"/>
            <w:sz w:val="24"/>
            <w:szCs w:val="24"/>
            <w:u w:val="single"/>
            <w:lang w:val="en"/>
          </w:rPr>
          <w:t>Australia</w:t>
        </w:r>
      </w:hyperlink>
      <w:r w:rsidRPr="00AA7276">
        <w:rPr>
          <w:rFonts w:ascii="Arial" w:eastAsia="Times New Roman" w:hAnsi="Arial" w:cs="Arial"/>
          <w:color w:val="202122"/>
          <w:sz w:val="24"/>
          <w:szCs w:val="24"/>
          <w:lang w:val="en"/>
        </w:rPr>
        <w:t>, and </w:t>
      </w:r>
      <w:hyperlink r:id="rId20" w:tooltip="New Zealand" w:history="1">
        <w:r w:rsidRPr="00AA7276">
          <w:rPr>
            <w:rFonts w:ascii="Arial" w:eastAsia="Times New Roman" w:hAnsi="Arial" w:cs="Arial"/>
            <w:color w:val="0000FF"/>
            <w:sz w:val="24"/>
            <w:szCs w:val="24"/>
            <w:u w:val="single"/>
            <w:lang w:val="en"/>
          </w:rPr>
          <w:t>New Zealand</w:t>
        </w:r>
      </w:hyperlink>
      <w:r w:rsidRPr="00AA7276">
        <w:rPr>
          <w:rFonts w:ascii="Arial" w:eastAsia="Times New Roman" w:hAnsi="Arial" w:cs="Arial"/>
          <w:color w:val="202122"/>
          <w:sz w:val="24"/>
          <w:szCs w:val="24"/>
          <w:lang w:val="en"/>
        </w:rPr>
        <w:t>.</w:t>
      </w:r>
      <w:hyperlink r:id="rId21" w:anchor="cite_note-MercerSurvey2015-2" w:history="1">
        <w:r w:rsidRPr="00AA7276">
          <w:rPr>
            <w:rFonts w:ascii="Arial" w:eastAsia="Times New Roman" w:hAnsi="Arial" w:cs="Arial"/>
            <w:color w:val="0000FF"/>
            <w:sz w:val="17"/>
            <w:szCs w:val="17"/>
            <w:u w:val="single"/>
            <w:vertAlign w:val="superscript"/>
            <w:lang w:val="en"/>
          </w:rPr>
          <w:t>[2]</w:t>
        </w:r>
      </w:hyperlink>
      <w:r w:rsidRPr="00AA7276">
        <w:rPr>
          <w:rFonts w:ascii="Arial" w:eastAsia="Times New Roman" w:hAnsi="Arial" w:cs="Arial"/>
          <w:color w:val="202122"/>
          <w:sz w:val="24"/>
          <w:szCs w:val="24"/>
          <w:lang w:val="en"/>
        </w:rPr>
        <w:t> Three examples of such surveys are </w:t>
      </w:r>
      <w:hyperlink r:id="rId22" w:tooltip="Monocle (lifestyle magazine)" w:history="1">
        <w:r w:rsidRPr="00AA7276">
          <w:rPr>
            <w:rFonts w:ascii="Arial" w:eastAsia="Times New Roman" w:hAnsi="Arial" w:cs="Arial"/>
            <w:color w:val="0000FF"/>
            <w:sz w:val="24"/>
            <w:szCs w:val="24"/>
            <w:u w:val="single"/>
            <w:lang w:val="en"/>
          </w:rPr>
          <w:t>Monocle</w:t>
        </w:r>
      </w:hyperlink>
      <w:r w:rsidRPr="00AA7276">
        <w:rPr>
          <w:rFonts w:ascii="Arial" w:eastAsia="Times New Roman" w:hAnsi="Arial" w:cs="Arial"/>
          <w:color w:val="202122"/>
          <w:sz w:val="24"/>
          <w:szCs w:val="24"/>
          <w:lang w:val="en"/>
        </w:rPr>
        <w:t>'s "Quality of Life Survey", the </w:t>
      </w:r>
      <w:hyperlink r:id="rId23" w:tooltip="Economist Intelligence Unit" w:history="1">
        <w:r w:rsidRPr="00AA7276">
          <w:rPr>
            <w:rFonts w:ascii="Arial" w:eastAsia="Times New Roman" w:hAnsi="Arial" w:cs="Arial"/>
            <w:color w:val="0000FF"/>
            <w:sz w:val="24"/>
            <w:szCs w:val="24"/>
            <w:u w:val="single"/>
            <w:lang w:val="en"/>
          </w:rPr>
          <w:t>Economist Intelligence Unit</w:t>
        </w:r>
      </w:hyperlink>
      <w:r w:rsidRPr="00AA7276">
        <w:rPr>
          <w:rFonts w:ascii="Arial" w:eastAsia="Times New Roman" w:hAnsi="Arial" w:cs="Arial"/>
          <w:color w:val="202122"/>
          <w:sz w:val="24"/>
          <w:szCs w:val="24"/>
          <w:lang w:val="en"/>
        </w:rPr>
        <w:t>'s "Global Liveability Ranking", and "</w:t>
      </w:r>
      <w:hyperlink r:id="rId24" w:tooltip="Mercer (consulting firm)" w:history="1">
        <w:r w:rsidRPr="00AA7276">
          <w:rPr>
            <w:rFonts w:ascii="Arial" w:eastAsia="Times New Roman" w:hAnsi="Arial" w:cs="Arial"/>
            <w:color w:val="0000FF"/>
            <w:sz w:val="24"/>
            <w:szCs w:val="24"/>
            <w:u w:val="single"/>
            <w:lang w:val="en"/>
          </w:rPr>
          <w:t>Mercer</w:t>
        </w:r>
      </w:hyperlink>
      <w:r w:rsidRPr="00AA7276">
        <w:rPr>
          <w:rFonts w:ascii="Arial" w:eastAsia="Times New Roman" w:hAnsi="Arial" w:cs="Arial"/>
          <w:color w:val="202122"/>
          <w:sz w:val="24"/>
          <w:szCs w:val="24"/>
          <w:lang w:val="en"/>
        </w:rPr>
        <w:t> Quality of Living Survey". Numbeo has the largest statistics and survey data based on cities and countries.</w:t>
      </w:r>
      <w:hyperlink r:id="rId25" w:anchor="cite_note-3" w:history="1">
        <w:r w:rsidRPr="00AA7276">
          <w:rPr>
            <w:rFonts w:ascii="Arial" w:eastAsia="Times New Roman" w:hAnsi="Arial" w:cs="Arial"/>
            <w:color w:val="0000FF"/>
            <w:sz w:val="17"/>
            <w:szCs w:val="17"/>
            <w:u w:val="single"/>
            <w:vertAlign w:val="superscript"/>
            <w:lang w:val="en"/>
          </w:rPr>
          <w:t>[3]</w:t>
        </w:r>
      </w:hyperlink>
      <w:r w:rsidRPr="00AA7276">
        <w:rPr>
          <w:rFonts w:ascii="Arial" w:eastAsia="Times New Roman" w:hAnsi="Arial" w:cs="Arial"/>
          <w:color w:val="202122"/>
          <w:sz w:val="17"/>
          <w:szCs w:val="17"/>
          <w:vertAlign w:val="superscript"/>
          <w:lang w:val="en"/>
        </w:rPr>
        <w:t>[</w:t>
      </w:r>
      <w:hyperlink r:id="rId26" w:tooltip="Wikipedia:Independent sources" w:history="1">
        <w:r w:rsidRPr="00AA7276">
          <w:rPr>
            <w:rFonts w:ascii="Arial" w:eastAsia="Times New Roman" w:hAnsi="Arial" w:cs="Arial"/>
            <w:i/>
            <w:iCs/>
            <w:color w:val="0000FF"/>
            <w:sz w:val="17"/>
            <w:szCs w:val="17"/>
            <w:u w:val="single"/>
            <w:vertAlign w:val="superscript"/>
            <w:lang w:val="en"/>
          </w:rPr>
          <w:t>third-party source needed</w:t>
        </w:r>
      </w:hyperlink>
      <w:r w:rsidRPr="00AA7276">
        <w:rPr>
          <w:rFonts w:ascii="Arial" w:eastAsia="Times New Roman" w:hAnsi="Arial" w:cs="Arial"/>
          <w:color w:val="202122"/>
          <w:sz w:val="17"/>
          <w:szCs w:val="17"/>
          <w:vertAlign w:val="superscript"/>
          <w:lang w:val="en"/>
        </w:rPr>
        <w:t>]</w:t>
      </w:r>
      <w:r w:rsidRPr="00AA7276">
        <w:rPr>
          <w:rFonts w:ascii="Arial" w:eastAsia="Times New Roman" w:hAnsi="Arial" w:cs="Arial"/>
          <w:color w:val="202122"/>
          <w:sz w:val="24"/>
          <w:szCs w:val="24"/>
          <w:lang w:val="en"/>
        </w:rPr>
        <w:t> </w:t>
      </w:r>
      <w:hyperlink r:id="rId27" w:tooltip="Deutsche Bank" w:history="1">
        <w:r w:rsidRPr="00AA7276">
          <w:rPr>
            <w:rFonts w:ascii="Arial" w:eastAsia="Times New Roman" w:hAnsi="Arial" w:cs="Arial"/>
            <w:color w:val="0000FF"/>
            <w:sz w:val="24"/>
            <w:szCs w:val="24"/>
            <w:u w:val="single"/>
            <w:lang w:val="en"/>
          </w:rPr>
          <w:t>Deutsche Bank</w:t>
        </w:r>
      </w:hyperlink>
      <w:r w:rsidRPr="00AA7276">
        <w:rPr>
          <w:rFonts w:ascii="Arial" w:eastAsia="Times New Roman" w:hAnsi="Arial" w:cs="Arial"/>
          <w:color w:val="202122"/>
          <w:sz w:val="24"/>
          <w:szCs w:val="24"/>
          <w:lang w:val="en"/>
        </w:rPr>
        <w:t>'s Liveability Survey is another ranking of cities by quality of life.</w:t>
      </w:r>
    </w:p>
    <w:p w:rsidR="00AA7276" w:rsidRPr="00AA7276" w:rsidRDefault="00AA7276" w:rsidP="00AA7276">
      <w:pPr>
        <w:shd w:val="clear" w:color="auto" w:fill="FFFFFF"/>
        <w:spacing w:before="120" w:after="0" w:line="240" w:lineRule="auto"/>
        <w:rPr>
          <w:rFonts w:ascii="Arial" w:eastAsia="Times New Roman" w:hAnsi="Arial" w:cs="Arial"/>
          <w:color w:val="202122"/>
          <w:sz w:val="24"/>
          <w:szCs w:val="24"/>
          <w:lang w:val="en"/>
        </w:rPr>
      </w:pPr>
      <w:r w:rsidRPr="00AA7276">
        <w:rPr>
          <w:rFonts w:ascii="Arial" w:eastAsia="Times New Roman" w:hAnsi="Arial" w:cs="Arial"/>
          <w:color w:val="202122"/>
          <w:sz w:val="24"/>
          <w:szCs w:val="24"/>
          <w:lang w:val="en"/>
        </w:rPr>
        <w:t>The reason some cities appear in one ranking but not another is often related to the different criteria used between rankings, but more commonly it is related the difference in weighting given to similar factors.</w:t>
      </w:r>
      <w:hyperlink r:id="rId28" w:anchor="cite_note-4" w:history="1">
        <w:r w:rsidRPr="00AA7276">
          <w:rPr>
            <w:rFonts w:ascii="Arial" w:eastAsia="Times New Roman" w:hAnsi="Arial" w:cs="Arial"/>
            <w:color w:val="0000FF"/>
            <w:sz w:val="17"/>
            <w:szCs w:val="17"/>
            <w:u w:val="single"/>
            <w:vertAlign w:val="superscript"/>
            <w:lang w:val="en"/>
          </w:rPr>
          <w:t>[4]</w:t>
        </w:r>
      </w:hyperlink>
    </w:p>
    <w:p w:rsidR="005F615B" w:rsidRDefault="005F615B"/>
    <w:sectPr w:rsidR="005F6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43A68"/>
    <w:multiLevelType w:val="multilevel"/>
    <w:tmpl w:val="EE06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3C0828"/>
    <w:multiLevelType w:val="multilevel"/>
    <w:tmpl w:val="481E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4318DC"/>
    <w:multiLevelType w:val="multilevel"/>
    <w:tmpl w:val="A9DA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4D79DA"/>
    <w:multiLevelType w:val="multilevel"/>
    <w:tmpl w:val="E114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76"/>
    <w:rsid w:val="005F615B"/>
    <w:rsid w:val="00AA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A0BF"/>
  <w15:chartTrackingRefBased/>
  <w15:docId w15:val="{46729159-EA28-4BB3-A8E5-2B760180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A72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276"/>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AA7276"/>
  </w:style>
  <w:style w:type="character" w:customStyle="1" w:styleId="vector-dropdown-label-text">
    <w:name w:val="vector-dropdown-label-text"/>
    <w:basedOn w:val="DefaultParagraphFont"/>
    <w:rsid w:val="00AA7276"/>
  </w:style>
  <w:style w:type="paragraph" w:customStyle="1" w:styleId="selected">
    <w:name w:val="selected"/>
    <w:basedOn w:val="Normal"/>
    <w:rsid w:val="00AA72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7276"/>
    <w:rPr>
      <w:color w:val="0000FF"/>
      <w:u w:val="single"/>
    </w:rPr>
  </w:style>
  <w:style w:type="paragraph" w:customStyle="1" w:styleId="vector-tab-noicon">
    <w:name w:val="vector-tab-noicon"/>
    <w:basedOn w:val="Normal"/>
    <w:rsid w:val="00AA72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list-item">
    <w:name w:val="mw-list-item"/>
    <w:basedOn w:val="Normal"/>
    <w:rsid w:val="00AA727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A72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68281">
      <w:bodyDiv w:val="1"/>
      <w:marLeft w:val="0"/>
      <w:marRight w:val="0"/>
      <w:marTop w:val="0"/>
      <w:marBottom w:val="0"/>
      <w:divBdr>
        <w:top w:val="none" w:sz="0" w:space="0" w:color="auto"/>
        <w:left w:val="none" w:sz="0" w:space="0" w:color="auto"/>
        <w:bottom w:val="none" w:sz="0" w:space="0" w:color="auto"/>
        <w:right w:val="none" w:sz="0" w:space="0" w:color="auto"/>
      </w:divBdr>
      <w:divsChild>
        <w:div w:id="2045983175">
          <w:marLeft w:val="0"/>
          <w:marRight w:val="-180"/>
          <w:marTop w:val="0"/>
          <w:marBottom w:val="0"/>
          <w:divBdr>
            <w:top w:val="none" w:sz="0" w:space="0" w:color="auto"/>
            <w:left w:val="none" w:sz="0" w:space="0" w:color="auto"/>
            <w:bottom w:val="none" w:sz="0" w:space="0" w:color="auto"/>
            <w:right w:val="none" w:sz="0" w:space="0" w:color="auto"/>
          </w:divBdr>
        </w:div>
        <w:div w:id="549341043">
          <w:marLeft w:val="0"/>
          <w:marRight w:val="0"/>
          <w:marTop w:val="0"/>
          <w:marBottom w:val="0"/>
          <w:divBdr>
            <w:top w:val="none" w:sz="0" w:space="0" w:color="auto"/>
            <w:left w:val="none" w:sz="0" w:space="0" w:color="auto"/>
            <w:bottom w:val="none" w:sz="0" w:space="0" w:color="auto"/>
            <w:right w:val="none" w:sz="0" w:space="0" w:color="auto"/>
          </w:divBdr>
          <w:divsChild>
            <w:div w:id="2056731940">
              <w:marLeft w:val="0"/>
              <w:marRight w:val="0"/>
              <w:marTop w:val="0"/>
              <w:marBottom w:val="15"/>
              <w:divBdr>
                <w:top w:val="none" w:sz="0" w:space="0" w:color="auto"/>
                <w:left w:val="none" w:sz="0" w:space="0" w:color="auto"/>
                <w:bottom w:val="none" w:sz="0" w:space="0" w:color="auto"/>
                <w:right w:val="none" w:sz="0" w:space="0" w:color="auto"/>
              </w:divBdr>
              <w:divsChild>
                <w:div w:id="1883323823">
                  <w:marLeft w:val="-120"/>
                  <w:marRight w:val="0"/>
                  <w:marTop w:val="0"/>
                  <w:marBottom w:val="0"/>
                  <w:divBdr>
                    <w:top w:val="none" w:sz="0" w:space="0" w:color="auto"/>
                    <w:left w:val="none" w:sz="0" w:space="0" w:color="auto"/>
                    <w:bottom w:val="none" w:sz="0" w:space="0" w:color="auto"/>
                    <w:right w:val="none" w:sz="0" w:space="0" w:color="auto"/>
                  </w:divBdr>
                  <w:divsChild>
                    <w:div w:id="1218931906">
                      <w:marLeft w:val="0"/>
                      <w:marRight w:val="0"/>
                      <w:marTop w:val="0"/>
                      <w:marBottom w:val="0"/>
                      <w:divBdr>
                        <w:top w:val="none" w:sz="0" w:space="0" w:color="auto"/>
                        <w:left w:val="none" w:sz="0" w:space="0" w:color="auto"/>
                        <w:bottom w:val="none" w:sz="0" w:space="0" w:color="auto"/>
                        <w:right w:val="none" w:sz="0" w:space="0" w:color="auto"/>
                      </w:divBdr>
                      <w:divsChild>
                        <w:div w:id="15040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9186">
                  <w:marLeft w:val="0"/>
                  <w:marRight w:val="-120"/>
                  <w:marTop w:val="0"/>
                  <w:marBottom w:val="0"/>
                  <w:divBdr>
                    <w:top w:val="none" w:sz="0" w:space="0" w:color="auto"/>
                    <w:left w:val="none" w:sz="0" w:space="0" w:color="auto"/>
                    <w:bottom w:val="none" w:sz="0" w:space="0" w:color="auto"/>
                    <w:right w:val="none" w:sz="0" w:space="0" w:color="auto"/>
                  </w:divBdr>
                  <w:divsChild>
                    <w:div w:id="1585919550">
                      <w:marLeft w:val="0"/>
                      <w:marRight w:val="0"/>
                      <w:marTop w:val="0"/>
                      <w:marBottom w:val="0"/>
                      <w:divBdr>
                        <w:top w:val="none" w:sz="0" w:space="0" w:color="auto"/>
                        <w:left w:val="none" w:sz="0" w:space="0" w:color="auto"/>
                        <w:bottom w:val="none" w:sz="0" w:space="0" w:color="auto"/>
                        <w:right w:val="none" w:sz="0" w:space="0" w:color="auto"/>
                      </w:divBdr>
                      <w:divsChild>
                        <w:div w:id="1673529744">
                          <w:marLeft w:val="0"/>
                          <w:marRight w:val="0"/>
                          <w:marTop w:val="0"/>
                          <w:marBottom w:val="0"/>
                          <w:divBdr>
                            <w:top w:val="none" w:sz="0" w:space="0" w:color="auto"/>
                            <w:left w:val="none" w:sz="0" w:space="0" w:color="auto"/>
                            <w:bottom w:val="none" w:sz="0" w:space="0" w:color="auto"/>
                            <w:right w:val="none" w:sz="0" w:space="0" w:color="auto"/>
                          </w:divBdr>
                        </w:div>
                      </w:divsChild>
                    </w:div>
                    <w:div w:id="8073065">
                      <w:marLeft w:val="120"/>
                      <w:marRight w:val="120"/>
                      <w:marTop w:val="0"/>
                      <w:marBottom w:val="0"/>
                      <w:divBdr>
                        <w:top w:val="none" w:sz="0" w:space="0" w:color="auto"/>
                        <w:left w:val="none" w:sz="0" w:space="0" w:color="auto"/>
                        <w:bottom w:val="none" w:sz="0" w:space="0" w:color="auto"/>
                        <w:right w:val="none" w:sz="0" w:space="0" w:color="auto"/>
                      </w:divBdr>
                      <w:divsChild>
                        <w:div w:id="2066371066">
                          <w:marLeft w:val="0"/>
                          <w:marRight w:val="0"/>
                          <w:marTop w:val="0"/>
                          <w:marBottom w:val="0"/>
                          <w:divBdr>
                            <w:top w:val="none" w:sz="0" w:space="0" w:color="auto"/>
                            <w:left w:val="none" w:sz="0" w:space="0" w:color="auto"/>
                            <w:bottom w:val="none" w:sz="0" w:space="0" w:color="auto"/>
                            <w:right w:val="none" w:sz="0" w:space="0" w:color="auto"/>
                          </w:divBdr>
                          <w:divsChild>
                            <w:div w:id="2094280500">
                              <w:marLeft w:val="0"/>
                              <w:marRight w:val="0"/>
                              <w:marTop w:val="0"/>
                              <w:marBottom w:val="0"/>
                              <w:divBdr>
                                <w:top w:val="none" w:sz="0" w:space="0" w:color="auto"/>
                                <w:left w:val="none" w:sz="0" w:space="0" w:color="auto"/>
                                <w:bottom w:val="none" w:sz="0" w:space="0" w:color="auto"/>
                                <w:right w:val="none" w:sz="0" w:space="0" w:color="auto"/>
                              </w:divBdr>
                              <w:divsChild>
                                <w:div w:id="799416259">
                                  <w:marLeft w:val="0"/>
                                  <w:marRight w:val="0"/>
                                  <w:marTop w:val="0"/>
                                  <w:marBottom w:val="0"/>
                                  <w:divBdr>
                                    <w:top w:val="none" w:sz="0" w:space="0" w:color="auto"/>
                                    <w:left w:val="none" w:sz="0" w:space="0" w:color="auto"/>
                                    <w:bottom w:val="none" w:sz="0" w:space="0" w:color="auto"/>
                                    <w:right w:val="none" w:sz="0" w:space="0" w:color="auto"/>
                                  </w:divBdr>
                                  <w:divsChild>
                                    <w:div w:id="874005141">
                                      <w:marLeft w:val="0"/>
                                      <w:marRight w:val="0"/>
                                      <w:marTop w:val="0"/>
                                      <w:marBottom w:val="0"/>
                                      <w:divBdr>
                                        <w:top w:val="none" w:sz="0" w:space="0" w:color="auto"/>
                                        <w:left w:val="none" w:sz="0" w:space="0" w:color="auto"/>
                                        <w:bottom w:val="none" w:sz="0" w:space="0" w:color="auto"/>
                                        <w:right w:val="none" w:sz="0" w:space="0" w:color="auto"/>
                                      </w:divBdr>
                                      <w:divsChild>
                                        <w:div w:id="1337032127">
                                          <w:marLeft w:val="0"/>
                                          <w:marRight w:val="0"/>
                                          <w:marTop w:val="0"/>
                                          <w:marBottom w:val="0"/>
                                          <w:divBdr>
                                            <w:top w:val="none" w:sz="0" w:space="0" w:color="auto"/>
                                            <w:left w:val="none" w:sz="0" w:space="0" w:color="auto"/>
                                            <w:bottom w:val="none" w:sz="0" w:space="0" w:color="auto"/>
                                            <w:right w:val="none" w:sz="0" w:space="0" w:color="auto"/>
                                          </w:divBdr>
                                        </w:div>
                                      </w:divsChild>
                                    </w:div>
                                    <w:div w:id="997923339">
                                      <w:marLeft w:val="0"/>
                                      <w:marRight w:val="0"/>
                                      <w:marTop w:val="0"/>
                                      <w:marBottom w:val="0"/>
                                      <w:divBdr>
                                        <w:top w:val="none" w:sz="0" w:space="0" w:color="auto"/>
                                        <w:left w:val="none" w:sz="0" w:space="0" w:color="auto"/>
                                        <w:bottom w:val="none" w:sz="0" w:space="0" w:color="auto"/>
                                        <w:right w:val="none" w:sz="0" w:space="0" w:color="auto"/>
                                      </w:divBdr>
                                      <w:divsChild>
                                        <w:div w:id="117966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296">
          <w:marLeft w:val="0"/>
          <w:marRight w:val="0"/>
          <w:marTop w:val="0"/>
          <w:marBottom w:val="0"/>
          <w:divBdr>
            <w:top w:val="none" w:sz="0" w:space="0" w:color="auto"/>
            <w:left w:val="none" w:sz="0" w:space="0" w:color="auto"/>
            <w:bottom w:val="none" w:sz="0" w:space="0" w:color="auto"/>
            <w:right w:val="none" w:sz="0" w:space="0" w:color="auto"/>
          </w:divBdr>
          <w:divsChild>
            <w:div w:id="1032153360">
              <w:marLeft w:val="0"/>
              <w:marRight w:val="0"/>
              <w:marTop w:val="0"/>
              <w:marBottom w:val="0"/>
              <w:divBdr>
                <w:top w:val="none" w:sz="0" w:space="0" w:color="auto"/>
                <w:left w:val="none" w:sz="0" w:space="0" w:color="auto"/>
                <w:bottom w:val="none" w:sz="0" w:space="0" w:color="auto"/>
                <w:right w:val="none" w:sz="0" w:space="0" w:color="auto"/>
              </w:divBdr>
              <w:divsChild>
                <w:div w:id="698239059">
                  <w:marLeft w:val="0"/>
                  <w:marRight w:val="0"/>
                  <w:marTop w:val="120"/>
                  <w:marBottom w:val="0"/>
                  <w:divBdr>
                    <w:top w:val="none" w:sz="0" w:space="0" w:color="auto"/>
                    <w:left w:val="none" w:sz="0" w:space="0" w:color="auto"/>
                    <w:bottom w:val="none" w:sz="0" w:space="0" w:color="auto"/>
                    <w:right w:val="none" w:sz="0" w:space="0" w:color="auto"/>
                  </w:divBdr>
                </w:div>
              </w:divsChild>
            </w:div>
            <w:div w:id="1542131321">
              <w:marLeft w:val="0"/>
              <w:marRight w:val="0"/>
              <w:marTop w:val="240"/>
              <w:marBottom w:val="0"/>
              <w:divBdr>
                <w:top w:val="none" w:sz="0" w:space="0" w:color="auto"/>
                <w:left w:val="none" w:sz="0" w:space="0" w:color="auto"/>
                <w:bottom w:val="none" w:sz="0" w:space="0" w:color="auto"/>
                <w:right w:val="none" w:sz="0" w:space="0" w:color="auto"/>
              </w:divBdr>
              <w:divsChild>
                <w:div w:id="6664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lk:City_quality_of_life_indices" TargetMode="External"/><Relationship Id="rId13" Type="http://schemas.openxmlformats.org/officeDocument/2006/relationships/hyperlink" Target="https://en.wikipedia.org/wiki/List_of_cities" TargetMode="External"/><Relationship Id="rId18" Type="http://schemas.openxmlformats.org/officeDocument/2006/relationships/hyperlink" Target="https://en.wikipedia.org/wiki/United_States" TargetMode="External"/><Relationship Id="rId26" Type="http://schemas.openxmlformats.org/officeDocument/2006/relationships/hyperlink" Target="https://en.wikipedia.org/wiki/Wikipedia:Independent_sources" TargetMode="External"/><Relationship Id="rId3" Type="http://schemas.openxmlformats.org/officeDocument/2006/relationships/settings" Target="settings.xml"/><Relationship Id="rId21" Type="http://schemas.openxmlformats.org/officeDocument/2006/relationships/hyperlink" Target="https://en.wikipedia.org/wiki/City_quality_of_life_indices" TargetMode="External"/><Relationship Id="rId7" Type="http://schemas.openxmlformats.org/officeDocument/2006/relationships/hyperlink" Target="https://en.wikipedia.org/wiki/City_quality_of_life_indices" TargetMode="External"/><Relationship Id="rId12" Type="http://schemas.openxmlformats.org/officeDocument/2006/relationships/control" Target="activeX/activeX2.xml"/><Relationship Id="rId17" Type="http://schemas.openxmlformats.org/officeDocument/2006/relationships/hyperlink" Target="https://en.wikipedia.org/wiki/Western_Europe" TargetMode="External"/><Relationship Id="rId25" Type="http://schemas.openxmlformats.org/officeDocument/2006/relationships/hyperlink" Target="https://en.wikipedia.org/wiki/City_quality_of_life_indices" TargetMode="External"/><Relationship Id="rId2" Type="http://schemas.openxmlformats.org/officeDocument/2006/relationships/styles" Target="styles.xml"/><Relationship Id="rId16" Type="http://schemas.openxmlformats.org/officeDocument/2006/relationships/hyperlink" Target="https://en.wikipedia.org/wiki/Canada" TargetMode="External"/><Relationship Id="rId20" Type="http://schemas.openxmlformats.org/officeDocument/2006/relationships/hyperlink" Target="https://en.wikipedia.org/wiki/New_Zealand"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en.wikipedia.org/w/index.php?title=City_quality_of_life_indices&amp;action=history" TargetMode="External"/><Relationship Id="rId24" Type="http://schemas.openxmlformats.org/officeDocument/2006/relationships/hyperlink" Target="https://en.wikipedia.org/wiki/Mercer_(consulting_firm)" TargetMode="External"/><Relationship Id="rId5" Type="http://schemas.openxmlformats.org/officeDocument/2006/relationships/image" Target="media/image1.wmf"/><Relationship Id="rId15" Type="http://schemas.openxmlformats.org/officeDocument/2006/relationships/hyperlink" Target="https://en.wikipedia.org/wiki/City_quality_of_life_indices" TargetMode="External"/><Relationship Id="rId23" Type="http://schemas.openxmlformats.org/officeDocument/2006/relationships/hyperlink" Target="https://en.wikipedia.org/wiki/Economist_Intelligence_Unit" TargetMode="External"/><Relationship Id="rId28" Type="http://schemas.openxmlformats.org/officeDocument/2006/relationships/hyperlink" Target="https://en.wikipedia.org/wiki/City_quality_of_life_indices" TargetMode="External"/><Relationship Id="rId10" Type="http://schemas.openxmlformats.org/officeDocument/2006/relationships/hyperlink" Target="https://en.wikipedia.org/w/index.php?title=City_quality_of_life_indices&amp;action=edit" TargetMode="External"/><Relationship Id="rId19" Type="http://schemas.openxmlformats.org/officeDocument/2006/relationships/hyperlink" Target="https://en.wikipedia.org/wiki/Australia" TargetMode="External"/><Relationship Id="rId4" Type="http://schemas.openxmlformats.org/officeDocument/2006/relationships/webSettings" Target="webSettings.xml"/><Relationship Id="rId9" Type="http://schemas.openxmlformats.org/officeDocument/2006/relationships/hyperlink" Target="https://en.wikipedia.org/wiki/City_quality_of_life_indices" TargetMode="External"/><Relationship Id="rId14" Type="http://schemas.openxmlformats.org/officeDocument/2006/relationships/hyperlink" Target="https://en.wikipedia.org/wiki/Standard_of_living" TargetMode="External"/><Relationship Id="rId22" Type="http://schemas.openxmlformats.org/officeDocument/2006/relationships/hyperlink" Target="https://en.wikipedia.org/wiki/Monocle_(lifestyle_magazine)" TargetMode="External"/><Relationship Id="rId27" Type="http://schemas.openxmlformats.org/officeDocument/2006/relationships/hyperlink" Target="https://en.wikipedia.org/wiki/Deutsche_Bank"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2024-05-29T00:38:00Z</dcterms:created>
  <dcterms:modified xsi:type="dcterms:W3CDTF">2024-05-29T00:40:00Z</dcterms:modified>
</cp:coreProperties>
</file>