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Tabela 1</w:t>
      </w:r>
    </w:p>
    <w:p>
      <w:pPr>
        <w:pStyle w:val="Normal"/>
      </w:pPr>
      <w:r>
        <w:t xml:space="preserve">Óbitos maternos por Síndromes Hipertensivas na Gestação (SHG), segundo categoria CID-10 e ano de ocorrência — Piauí, 2019–2024.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504"/>
        <w:gridCol w:w="816"/>
        <w:gridCol w:w="816"/>
        <w:gridCol w:w="816"/>
        <w:gridCol w:w="816"/>
        <w:gridCol w:w="816"/>
        <w:gridCol w:w="816"/>
        <w:gridCol w:w="834"/>
        <w:gridCol w:w="1013"/>
      </w:tblGrid>
      <w:tr>
        <w:trPr>
          <w:trHeight w:val="614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Categoria CID-10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2019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2020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2021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2023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2024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Total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%</w:t>
            </w:r>
          </w:p>
        </w:tc>
      </w:tr>
      <w:tr>
        <w:trPr>
          <w:trHeight w:val="584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O10 - Hipertensão pré-existente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3,2%</w:t>
            </w:r>
          </w:p>
        </w:tc>
      </w:tr>
      <w:tr>
        <w:trPr>
          <w:trHeight w:val="58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O11 - Hipert. pré-exist. c/ proteinúria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0,0%</w:t>
            </w:r>
          </w:p>
        </w:tc>
      </w:tr>
      <w:tr>
        <w:trPr>
          <w:trHeight w:val="58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O13 - HG sem proteinúria significativa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8,1%</w:t>
            </w:r>
          </w:p>
        </w:tc>
      </w:tr>
      <w:tr>
        <w:trPr>
          <w:trHeight w:val="58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O14 - HG com proteinúria significativa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33,9%</w:t>
            </w:r>
          </w:p>
        </w:tc>
      </w:tr>
      <w:tr>
        <w:trPr>
          <w:trHeight w:val="58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O15 - Eclâmpsia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53,2%</w:t>
            </w:r>
          </w:p>
        </w:tc>
      </w:tr>
      <w:tr>
        <w:trPr>
          <w:trHeight w:val="58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O16 - Hipertensão materna 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1,6%</w:t>
            </w:r>
          </w:p>
        </w:tc>
      </w:tr>
      <w:tr>
        <w:trPr>
          <w:trHeight w:val="599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Total SHG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14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13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14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62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100,0%</w:t>
            </w:r>
          </w:p>
        </w:tc>
      </w:tr>
    </w:tbl>
    <w:p>
      <w:pPr>
        <w:pStyle w:val="Normal"/>
      </w:pPr>
      <w:r>
        <w:t xml:space="preserve">Fonte: elaborado pelos autores a partir de dados do SIM/DATASUS.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2026-08-19T09:15:15Z</dcterms:modified>
  <cp:category/>
</cp:coreProperties>
</file>