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4DC75" w14:textId="1493E329" w:rsidR="0010343E" w:rsidRDefault="0010343E" w:rsidP="005B2C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Mapping loci </w:t>
      </w:r>
      <w:r w:rsidR="00C64FBB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="00C64FBB">
        <w:rPr>
          <w:rFonts w:ascii="Times New Roman" w:hAnsi="Times New Roman" w:cs="Times New Roman"/>
        </w:rPr>
        <w:t xml:space="preserve">modify the efficacy of </w:t>
      </w:r>
      <w:r>
        <w:rPr>
          <w:rFonts w:ascii="Times New Roman" w:hAnsi="Times New Roman" w:cs="Times New Roman"/>
          <w:i/>
        </w:rPr>
        <w:t>Teosinte crossing barrier 1</w:t>
      </w:r>
    </w:p>
    <w:p w14:paraId="5F4BFA3D" w14:textId="00CBE4E9" w:rsidR="0010343E" w:rsidRDefault="0010343E" w:rsidP="005B2CB5">
      <w:pPr>
        <w:jc w:val="center"/>
        <w:rPr>
          <w:rFonts w:ascii="Times New Roman" w:hAnsi="Times New Roman" w:cs="Times New Roman"/>
        </w:rPr>
      </w:pPr>
    </w:p>
    <w:p w14:paraId="29195D97" w14:textId="7AAF986A" w:rsidR="0010343E" w:rsidRDefault="0010343E" w:rsidP="005B2C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Merritt B. Burch and Donald Auger</w:t>
      </w:r>
      <w:bookmarkStart w:id="0" w:name="_GoBack"/>
      <w:bookmarkEnd w:id="0"/>
    </w:p>
    <w:p w14:paraId="3DDE4F45" w14:textId="708CA31F" w:rsidR="00AB26DB" w:rsidRPr="0010343E" w:rsidRDefault="00AB26DB" w:rsidP="0010343E">
      <w:pPr>
        <w:jc w:val="both"/>
        <w:rPr>
          <w:rFonts w:ascii="Times New Roman" w:hAnsi="Times New Roman" w:cs="Times New Roman"/>
        </w:rPr>
      </w:pPr>
    </w:p>
    <w:p w14:paraId="79047ADF" w14:textId="77777777" w:rsidR="0010343E" w:rsidRDefault="0010343E" w:rsidP="0010343E">
      <w:pPr>
        <w:jc w:val="both"/>
        <w:rPr>
          <w:rFonts w:ascii="Times New Roman" w:hAnsi="Times New Roman" w:cs="Times New Roman"/>
          <w:i/>
        </w:rPr>
      </w:pPr>
    </w:p>
    <w:p w14:paraId="0A42CF78" w14:textId="414E515A" w:rsidR="0010343E" w:rsidRPr="00183F60" w:rsidRDefault="0010343E" w:rsidP="00980F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Teosinte crossing barrier 1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Tcb1</w:t>
      </w:r>
      <w:r>
        <w:rPr>
          <w:rFonts w:ascii="Times New Roman" w:hAnsi="Times New Roman" w:cs="Times New Roman"/>
        </w:rPr>
        <w:t xml:space="preserve">) is a genetic cross-incompatibility </w:t>
      </w:r>
      <w:r w:rsidR="00C64FBB">
        <w:rPr>
          <w:rFonts w:ascii="Times New Roman" w:hAnsi="Times New Roman" w:cs="Times New Roman"/>
        </w:rPr>
        <w:t xml:space="preserve">factor that is </w:t>
      </w:r>
      <w:r>
        <w:rPr>
          <w:rFonts w:ascii="Times New Roman" w:hAnsi="Times New Roman" w:cs="Times New Roman"/>
        </w:rPr>
        <w:t xml:space="preserve">responsible for blocking non-self-type pollen in silks. </w:t>
      </w:r>
      <w:r w:rsidR="00C64FBB">
        <w:rPr>
          <w:rFonts w:ascii="Times New Roman" w:hAnsi="Times New Roman" w:cs="Times New Roman"/>
        </w:rPr>
        <w:t xml:space="preserve">Originally </w:t>
      </w:r>
      <w:r>
        <w:rPr>
          <w:rFonts w:ascii="Times New Roman" w:hAnsi="Times New Roman" w:cs="Times New Roman"/>
        </w:rPr>
        <w:t xml:space="preserve">found in teosintes, </w:t>
      </w:r>
      <w:r>
        <w:rPr>
          <w:rFonts w:ascii="Times New Roman" w:hAnsi="Times New Roman" w:cs="Times New Roman"/>
          <w:i/>
        </w:rPr>
        <w:t>Tcb1-s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strong allele</w:t>
      </w:r>
      <w:r>
        <w:rPr>
          <w:rFonts w:ascii="Times New Roman" w:hAnsi="Times New Roman" w:cs="Times New Roman"/>
        </w:rPr>
        <w:t xml:space="preserve">) has been introduced into modern maize varieties conferring resistance to </w:t>
      </w:r>
      <w:r>
        <w:rPr>
          <w:rFonts w:ascii="Times New Roman" w:hAnsi="Times New Roman" w:cs="Times New Roman"/>
          <w:i/>
        </w:rPr>
        <w:t>tcb1</w:t>
      </w:r>
      <w:r>
        <w:rPr>
          <w:rFonts w:ascii="Times New Roman" w:hAnsi="Times New Roman" w:cs="Times New Roman"/>
        </w:rPr>
        <w:t xml:space="preserve"> pollen. Previous studies using a similar cross incompatibility system, </w:t>
      </w:r>
      <w:proofErr w:type="spellStart"/>
      <w:r>
        <w:rPr>
          <w:rFonts w:ascii="Times New Roman" w:hAnsi="Times New Roman" w:cs="Times New Roman"/>
          <w:i/>
        </w:rPr>
        <w:t>Gametophye</w:t>
      </w:r>
      <w:proofErr w:type="spellEnd"/>
      <w:r>
        <w:rPr>
          <w:rFonts w:ascii="Times New Roman" w:hAnsi="Times New Roman" w:cs="Times New Roman"/>
          <w:i/>
        </w:rPr>
        <w:t xml:space="preserve"> factor 1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Ga1-s</w:t>
      </w:r>
      <w:r>
        <w:rPr>
          <w:rFonts w:ascii="Times New Roman" w:hAnsi="Times New Roman" w:cs="Times New Roman"/>
        </w:rPr>
        <w:t xml:space="preserve">) suggest that the cell wall modification enzyme </w:t>
      </w:r>
      <w:r w:rsidRPr="0010343E">
        <w:rPr>
          <w:rFonts w:ascii="Times New Roman" w:hAnsi="Times New Roman" w:cs="Times New Roman"/>
          <w:i/>
        </w:rPr>
        <w:t>ZmPme3</w:t>
      </w:r>
      <w:r>
        <w:rPr>
          <w:rFonts w:ascii="Times New Roman" w:hAnsi="Times New Roman" w:cs="Times New Roman"/>
        </w:rPr>
        <w:t xml:space="preserve">, a pectin </w:t>
      </w:r>
      <w:proofErr w:type="spellStart"/>
      <w:r>
        <w:rPr>
          <w:rFonts w:ascii="Times New Roman" w:hAnsi="Times New Roman" w:cs="Times New Roman"/>
        </w:rPr>
        <w:t>methylesterase</w:t>
      </w:r>
      <w:proofErr w:type="spellEnd"/>
      <w:r>
        <w:rPr>
          <w:rFonts w:ascii="Times New Roman" w:hAnsi="Times New Roman" w:cs="Times New Roman"/>
        </w:rPr>
        <w:t xml:space="preserve">, along with multiple modifying QTL loci contribute to the effectiveness of silks at resisting foreign pollen types. In </w:t>
      </w:r>
      <w:r>
        <w:rPr>
          <w:rFonts w:ascii="Times New Roman" w:hAnsi="Times New Roman" w:cs="Times New Roman"/>
          <w:i/>
        </w:rPr>
        <w:t xml:space="preserve">Tcb1, </w:t>
      </w:r>
      <w:r>
        <w:rPr>
          <w:rFonts w:ascii="Times New Roman" w:hAnsi="Times New Roman" w:cs="Times New Roman"/>
        </w:rPr>
        <w:t>little is known about the genetic modifiers and</w:t>
      </w:r>
      <w:r w:rsidR="008425F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425F5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 xml:space="preserve">importantly, what the underlying biological mechanism is for this cross incompatibility. Cross-incompatibility systems like </w:t>
      </w:r>
      <w:r>
        <w:rPr>
          <w:rFonts w:ascii="Times New Roman" w:hAnsi="Times New Roman" w:cs="Times New Roman"/>
          <w:i/>
        </w:rPr>
        <w:t>Tcb1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 xml:space="preserve">Ga1 </w:t>
      </w:r>
      <w:r>
        <w:rPr>
          <w:rFonts w:ascii="Times New Roman" w:hAnsi="Times New Roman" w:cs="Times New Roman"/>
        </w:rPr>
        <w:t xml:space="preserve">can be beneficial to breeders and farmers when only certain pollen types are desired on specialty maize crops. It was </w:t>
      </w:r>
      <w:r w:rsidR="008425F5">
        <w:rPr>
          <w:rFonts w:ascii="Times New Roman" w:hAnsi="Times New Roman" w:cs="Times New Roman"/>
        </w:rPr>
        <w:t xml:space="preserve">observed </w:t>
      </w:r>
      <w:r>
        <w:rPr>
          <w:rFonts w:ascii="Times New Roman" w:hAnsi="Times New Roman" w:cs="Times New Roman"/>
        </w:rPr>
        <w:t xml:space="preserve">that nearly all the F1's of various </w:t>
      </w:r>
      <w:proofErr w:type="spellStart"/>
      <w:r>
        <w:rPr>
          <w:rFonts w:ascii="Times New Roman" w:hAnsi="Times New Roman" w:cs="Times New Roman"/>
        </w:rPr>
        <w:t>inbreds</w:t>
      </w:r>
      <w:proofErr w:type="spellEnd"/>
      <w:r>
        <w:rPr>
          <w:rFonts w:ascii="Times New Roman" w:hAnsi="Times New Roman" w:cs="Times New Roman"/>
        </w:rPr>
        <w:t xml:space="preserve">, including B73, crossed by W22 </w:t>
      </w:r>
      <w:r>
        <w:rPr>
          <w:rFonts w:ascii="Times New Roman" w:hAnsi="Times New Roman" w:cs="Times New Roman"/>
          <w:i/>
        </w:rPr>
        <w:t>Tcb1-s</w:t>
      </w:r>
      <w:r>
        <w:rPr>
          <w:rFonts w:ascii="Times New Roman" w:hAnsi="Times New Roman" w:cs="Times New Roman"/>
        </w:rPr>
        <w:t xml:space="preserve"> demonstrate strong incompatibility with </w:t>
      </w:r>
      <w:r>
        <w:rPr>
          <w:rFonts w:ascii="Times New Roman" w:hAnsi="Times New Roman" w:cs="Times New Roman"/>
          <w:i/>
        </w:rPr>
        <w:t>tcb1</w:t>
      </w:r>
      <w:r>
        <w:rPr>
          <w:rFonts w:ascii="Times New Roman" w:hAnsi="Times New Roman" w:cs="Times New Roman"/>
        </w:rPr>
        <w:t xml:space="preserve"> pollen. </w:t>
      </w:r>
      <w:r w:rsidR="008425F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ne exception was Mo17, whose F1s had weaker resistance. In </w:t>
      </w:r>
      <w:r w:rsidR="00CA426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study </w:t>
      </w:r>
      <w:r w:rsidR="00CA4261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us</w:t>
      </w:r>
      <w:r w:rsidR="00CA4261">
        <w:rPr>
          <w:rFonts w:ascii="Times New Roman" w:hAnsi="Times New Roman" w:cs="Times New Roman"/>
        </w:rPr>
        <w:t>ed</w:t>
      </w:r>
      <w:r w:rsidR="008425F5">
        <w:rPr>
          <w:rFonts w:ascii="Times New Roman" w:hAnsi="Times New Roman" w:cs="Times New Roman"/>
        </w:rPr>
        <w:t xml:space="preserve"> recombinant inbred lines (RILS) from</w:t>
      </w:r>
      <w:r>
        <w:rPr>
          <w:rFonts w:ascii="Times New Roman" w:hAnsi="Times New Roman" w:cs="Times New Roman"/>
        </w:rPr>
        <w:t xml:space="preserve"> the intermated B73</w:t>
      </w:r>
      <w:r w:rsidR="008425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Mo17 (IBM) population crossed with homozygous W22 </w:t>
      </w:r>
      <w:r>
        <w:rPr>
          <w:rFonts w:ascii="Times New Roman" w:hAnsi="Times New Roman" w:cs="Times New Roman"/>
          <w:i/>
        </w:rPr>
        <w:t>Tcb1-s</w:t>
      </w:r>
      <w:r>
        <w:rPr>
          <w:rFonts w:ascii="Times New Roman" w:hAnsi="Times New Roman" w:cs="Times New Roman"/>
        </w:rPr>
        <w:t xml:space="preserve"> plants to test the </w:t>
      </w:r>
      <w:r w:rsidR="008425F5">
        <w:rPr>
          <w:rFonts w:ascii="Times New Roman" w:hAnsi="Times New Roman" w:cs="Times New Roman"/>
        </w:rPr>
        <w:t xml:space="preserve">efficacy </w:t>
      </w:r>
      <w:r>
        <w:rPr>
          <w:rFonts w:ascii="Times New Roman" w:hAnsi="Times New Roman" w:cs="Times New Roman"/>
        </w:rPr>
        <w:t xml:space="preserve">of the various F1s at </w:t>
      </w:r>
      <w:r w:rsidR="008425F5">
        <w:rPr>
          <w:rFonts w:ascii="Times New Roman" w:hAnsi="Times New Roman" w:cs="Times New Roman"/>
        </w:rPr>
        <w:t xml:space="preserve">blocking </w:t>
      </w:r>
      <w:r>
        <w:rPr>
          <w:rFonts w:ascii="Times New Roman" w:hAnsi="Times New Roman" w:cs="Times New Roman"/>
          <w:i/>
        </w:rPr>
        <w:t>tcb1</w:t>
      </w:r>
      <w:r>
        <w:rPr>
          <w:rFonts w:ascii="Times New Roman" w:hAnsi="Times New Roman" w:cs="Times New Roman"/>
        </w:rPr>
        <w:t xml:space="preserve"> pollen. The F1s were tested by first challenging the </w:t>
      </w:r>
      <w:r>
        <w:rPr>
          <w:rFonts w:ascii="Times New Roman" w:hAnsi="Times New Roman" w:cs="Times New Roman"/>
          <w:i/>
        </w:rPr>
        <w:t>Tcb1-s</w:t>
      </w:r>
      <w:r>
        <w:rPr>
          <w:rFonts w:ascii="Times New Roman" w:hAnsi="Times New Roman" w:cs="Times New Roman"/>
        </w:rPr>
        <w:t xml:space="preserve"> silks with </w:t>
      </w:r>
      <w:r>
        <w:rPr>
          <w:rFonts w:ascii="Times New Roman" w:hAnsi="Times New Roman" w:cs="Times New Roman"/>
          <w:i/>
        </w:rPr>
        <w:t>R1 C1 tcb1</w:t>
      </w:r>
      <w:r>
        <w:rPr>
          <w:rFonts w:ascii="Times New Roman" w:hAnsi="Times New Roman" w:cs="Times New Roman"/>
        </w:rPr>
        <w:t xml:space="preserve"> pollen and the next day pollinated the same silks with </w:t>
      </w:r>
      <w:r w:rsidR="008425F5" w:rsidRPr="00183F60">
        <w:rPr>
          <w:rFonts w:ascii="Times New Roman" w:hAnsi="Times New Roman" w:cs="Times New Roman"/>
          <w:i/>
        </w:rPr>
        <w:t>r1 c1</w:t>
      </w:r>
      <w:r w:rsidR="008425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Tcb1-s</w:t>
      </w:r>
      <w:r>
        <w:rPr>
          <w:rFonts w:ascii="Times New Roman" w:hAnsi="Times New Roman" w:cs="Times New Roman"/>
        </w:rPr>
        <w:t xml:space="preserve"> pollen. The </w:t>
      </w:r>
      <w:r w:rsidR="008425F5">
        <w:rPr>
          <w:rFonts w:ascii="Times New Roman" w:hAnsi="Times New Roman" w:cs="Times New Roman"/>
        </w:rPr>
        <w:t xml:space="preserve">resulting </w:t>
      </w:r>
      <w:r>
        <w:rPr>
          <w:rFonts w:ascii="Times New Roman" w:hAnsi="Times New Roman" w:cs="Times New Roman"/>
        </w:rPr>
        <w:t xml:space="preserve">ears were scored for the percentage of </w:t>
      </w:r>
      <w:r w:rsidR="008425F5">
        <w:rPr>
          <w:rFonts w:ascii="Times New Roman" w:hAnsi="Times New Roman" w:cs="Times New Roman"/>
        </w:rPr>
        <w:t>colored kernels</w:t>
      </w:r>
      <w:r w:rsidR="00980B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80BD5">
        <w:rPr>
          <w:rFonts w:ascii="Times New Roman" w:hAnsi="Times New Roman" w:cs="Times New Roman"/>
        </w:rPr>
        <w:t>S</w:t>
      </w:r>
      <w:r w:rsidR="00CA4261" w:rsidRPr="00CA4261">
        <w:rPr>
          <w:rFonts w:ascii="Times New Roman" w:hAnsi="Times New Roman" w:cs="Times New Roman"/>
        </w:rPr>
        <w:t xml:space="preserve">ix </w:t>
      </w:r>
      <w:r w:rsidR="008425F5">
        <w:rPr>
          <w:rFonts w:ascii="Times New Roman" w:hAnsi="Times New Roman" w:cs="Times New Roman"/>
        </w:rPr>
        <w:t>quantitative trait loci (</w:t>
      </w:r>
      <w:r w:rsidR="00CA4261">
        <w:rPr>
          <w:rFonts w:ascii="Times New Roman" w:hAnsi="Times New Roman" w:cs="Times New Roman"/>
        </w:rPr>
        <w:t>QTL</w:t>
      </w:r>
      <w:r w:rsidR="008425F5">
        <w:rPr>
          <w:rFonts w:ascii="Times New Roman" w:hAnsi="Times New Roman" w:cs="Times New Roman"/>
        </w:rPr>
        <w:t>)</w:t>
      </w:r>
      <w:r w:rsidR="00CA4261">
        <w:rPr>
          <w:rFonts w:ascii="Times New Roman" w:hAnsi="Times New Roman" w:cs="Times New Roman"/>
        </w:rPr>
        <w:t xml:space="preserve"> were detected on chromosomes 1, 3, 5, and 7 that explained</w:t>
      </w:r>
      <w:r w:rsidR="00AB16DF">
        <w:rPr>
          <w:rFonts w:ascii="Times New Roman" w:hAnsi="Times New Roman" w:cs="Times New Roman"/>
        </w:rPr>
        <w:t xml:space="preserve"> 28.9%</w:t>
      </w:r>
      <w:r w:rsidR="00CA4261">
        <w:rPr>
          <w:rFonts w:ascii="Times New Roman" w:hAnsi="Times New Roman" w:cs="Times New Roman"/>
        </w:rPr>
        <w:t xml:space="preserve"> of the </w:t>
      </w:r>
      <w:r w:rsidR="00DE30EC">
        <w:rPr>
          <w:rFonts w:ascii="Times New Roman" w:hAnsi="Times New Roman" w:cs="Times New Roman"/>
        </w:rPr>
        <w:t xml:space="preserve">phenotypic </w:t>
      </w:r>
      <w:r w:rsidR="00CA4261">
        <w:rPr>
          <w:rFonts w:ascii="Times New Roman" w:hAnsi="Times New Roman" w:cs="Times New Roman"/>
        </w:rPr>
        <w:t xml:space="preserve">variability. </w:t>
      </w:r>
      <w:r w:rsidR="00B266D0">
        <w:rPr>
          <w:rFonts w:ascii="Times New Roman" w:hAnsi="Times New Roman" w:cs="Times New Roman"/>
        </w:rPr>
        <w:t>Most</w:t>
      </w:r>
      <w:r w:rsidR="00980F62">
        <w:rPr>
          <w:rFonts w:ascii="Times New Roman" w:hAnsi="Times New Roman" w:cs="Times New Roman"/>
        </w:rPr>
        <w:t xml:space="preserve"> modifying</w:t>
      </w:r>
      <w:r w:rsidR="00B266D0">
        <w:rPr>
          <w:rFonts w:ascii="Times New Roman" w:hAnsi="Times New Roman" w:cs="Times New Roman"/>
        </w:rPr>
        <w:t xml:space="preserve"> QTL loci showed simple additivity </w:t>
      </w:r>
      <w:r w:rsidR="00980BD5">
        <w:rPr>
          <w:rFonts w:ascii="Times New Roman" w:hAnsi="Times New Roman" w:cs="Times New Roman"/>
        </w:rPr>
        <w:t xml:space="preserve">effects and epistatic </w:t>
      </w:r>
      <w:r w:rsidR="00980F62">
        <w:rPr>
          <w:rFonts w:ascii="Times New Roman" w:hAnsi="Times New Roman" w:cs="Times New Roman"/>
        </w:rPr>
        <w:t>interactions between loci.</w:t>
      </w:r>
      <w:r w:rsidR="00980BD5">
        <w:rPr>
          <w:rFonts w:ascii="Times New Roman" w:hAnsi="Times New Roman" w:cs="Times New Roman"/>
        </w:rPr>
        <w:t xml:space="preserve"> Further exploration into these </w:t>
      </w:r>
      <w:r w:rsidR="0044473B">
        <w:rPr>
          <w:rFonts w:ascii="Times New Roman" w:hAnsi="Times New Roman" w:cs="Times New Roman"/>
        </w:rPr>
        <w:t>genomic regions</w:t>
      </w:r>
      <w:r w:rsidR="00980BD5">
        <w:rPr>
          <w:rFonts w:ascii="Times New Roman" w:hAnsi="Times New Roman" w:cs="Times New Roman"/>
        </w:rPr>
        <w:t xml:space="preserve"> and the underlying candidate genes is underway</w:t>
      </w:r>
      <w:r w:rsidR="0044473B">
        <w:rPr>
          <w:rFonts w:ascii="Times New Roman" w:hAnsi="Times New Roman" w:cs="Times New Roman"/>
        </w:rPr>
        <w:t>, t</w:t>
      </w:r>
      <w:r w:rsidR="00980BD5">
        <w:rPr>
          <w:rFonts w:ascii="Times New Roman" w:hAnsi="Times New Roman" w:cs="Times New Roman"/>
        </w:rPr>
        <w:t>he</w:t>
      </w:r>
      <w:r w:rsidR="0044473B">
        <w:rPr>
          <w:rFonts w:ascii="Times New Roman" w:hAnsi="Times New Roman" w:cs="Times New Roman"/>
        </w:rPr>
        <w:t>se</w:t>
      </w:r>
      <w:r w:rsidR="00980BD5">
        <w:rPr>
          <w:rFonts w:ascii="Times New Roman" w:hAnsi="Times New Roman" w:cs="Times New Roman"/>
        </w:rPr>
        <w:t xml:space="preserve"> results could shed light on the genetic and physiological mechanism</w:t>
      </w:r>
      <w:r w:rsidR="0044473B">
        <w:rPr>
          <w:rFonts w:ascii="Times New Roman" w:hAnsi="Times New Roman" w:cs="Times New Roman"/>
        </w:rPr>
        <w:t>s</w:t>
      </w:r>
      <w:r w:rsidR="00980BD5">
        <w:rPr>
          <w:rFonts w:ascii="Times New Roman" w:hAnsi="Times New Roman" w:cs="Times New Roman"/>
        </w:rPr>
        <w:t xml:space="preserve"> </w:t>
      </w:r>
      <w:r w:rsidR="0044473B">
        <w:rPr>
          <w:rFonts w:ascii="Times New Roman" w:hAnsi="Times New Roman" w:cs="Times New Roman"/>
        </w:rPr>
        <w:t>controlling</w:t>
      </w:r>
      <w:r w:rsidR="00980BD5">
        <w:rPr>
          <w:rFonts w:ascii="Times New Roman" w:hAnsi="Times New Roman" w:cs="Times New Roman"/>
        </w:rPr>
        <w:t xml:space="preserve"> </w:t>
      </w:r>
      <w:r w:rsidR="00980BD5">
        <w:rPr>
          <w:rFonts w:ascii="Times New Roman" w:hAnsi="Times New Roman" w:cs="Times New Roman"/>
          <w:i/>
        </w:rPr>
        <w:t>Tcb1.</w:t>
      </w:r>
    </w:p>
    <w:p w14:paraId="7BA89C0C" w14:textId="762D4D77" w:rsidR="00C64FBB" w:rsidRDefault="00C64FBB"/>
    <w:p w14:paraId="4301B87B" w14:textId="340F100A" w:rsidR="0044473B" w:rsidRDefault="0044473B"/>
    <w:p w14:paraId="40E722CE" w14:textId="55944E11" w:rsidR="0044473B" w:rsidRDefault="002C2BBE">
      <w:r>
        <w:rPr>
          <w:noProof/>
        </w:rPr>
        <w:lastRenderedPageBreak/>
        <w:drawing>
          <wp:inline distT="0" distB="0" distL="0" distR="0" wp14:anchorId="1E235954" wp14:editId="777EC68F">
            <wp:extent cx="5943600" cy="3144520"/>
            <wp:effectExtent l="0" t="0" r="0" b="0"/>
            <wp:docPr id="2" name="Picture 2" descr="A row of trees in th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qtl_out.h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1414C" wp14:editId="2B6E7A7B">
            <wp:extent cx="5943600" cy="3144520"/>
            <wp:effectExtent l="0" t="0" r="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tion plot for qtl1.2 and qtl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1B91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9D00"/>
          <w:sz w:val="20"/>
          <w:szCs w:val="20"/>
        </w:rPr>
      </w:pPr>
      <w:r w:rsidRPr="002C2BBE">
        <w:rPr>
          <w:rFonts w:ascii="Consolas" w:hAnsi="Consolas" w:cs="Courier New"/>
          <w:color w:val="FF9D00"/>
          <w:sz w:val="20"/>
          <w:szCs w:val="20"/>
        </w:rPr>
        <w:t>&gt; summary(</w:t>
      </w:r>
      <w:proofErr w:type="spellStart"/>
      <w:proofErr w:type="gramStart"/>
      <w:r w:rsidRPr="002C2BBE">
        <w:rPr>
          <w:rFonts w:ascii="Consolas" w:hAnsi="Consolas" w:cs="Courier New"/>
          <w:color w:val="FF9D00"/>
          <w:sz w:val="20"/>
          <w:szCs w:val="20"/>
        </w:rPr>
        <w:t>out.fq</w:t>
      </w:r>
      <w:proofErr w:type="spellEnd"/>
      <w:proofErr w:type="gramEnd"/>
      <w:r w:rsidRPr="002C2BBE">
        <w:rPr>
          <w:rFonts w:ascii="Consolas" w:hAnsi="Consolas" w:cs="Courier New"/>
          <w:color w:val="FF9D00"/>
          <w:sz w:val="20"/>
          <w:szCs w:val="20"/>
        </w:rPr>
        <w:t>)</w:t>
      </w:r>
    </w:p>
    <w:p w14:paraId="52E27F63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</w:p>
    <w:p w14:paraId="563DE084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ab/>
      </w:r>
      <w:r w:rsidRPr="002C2BBE">
        <w:rPr>
          <w:rFonts w:ascii="Consolas" w:hAnsi="Consolas" w:cs="Courier New"/>
          <w:color w:val="FFFFFF"/>
          <w:sz w:val="20"/>
          <w:szCs w:val="20"/>
        </w:rPr>
        <w:tab/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fitqtl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summary</w:t>
      </w:r>
    </w:p>
    <w:p w14:paraId="1EDB02D8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</w:p>
    <w:p w14:paraId="5308D89B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Method: Haley-Knott regression </w:t>
      </w:r>
    </w:p>
    <w:p w14:paraId="156A9EBC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>Model:  normal phenotype</w:t>
      </w:r>
    </w:p>
    <w:p w14:paraId="36583F68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Number of </w:t>
      </w: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t>observations :</w:t>
      </w:r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77 </w:t>
      </w:r>
    </w:p>
    <w:p w14:paraId="72853997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</w:p>
    <w:p w14:paraId="7BFF5AA0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>Full model result</w:t>
      </w:r>
    </w:p>
    <w:p w14:paraId="0E44A73C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----------------------------------  </w:t>
      </w:r>
    </w:p>
    <w:p w14:paraId="7AD06D0E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Model formula: y ~ Q1 + Q2 + Q3 + Q4 + Q5 + Q6 </w:t>
      </w:r>
    </w:p>
    <w:p w14:paraId="28F49E22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</w:p>
    <w:p w14:paraId="4B63557E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      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df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      SS       MS      LOD     %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var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Pvalue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(Chi2)    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Pvalue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>(F)</w:t>
      </w:r>
    </w:p>
    <w:p w14:paraId="3CD3A621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lastRenderedPageBreak/>
        <w:t>Model  6</w:t>
      </w:r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14.06081 2.343469 9.359507 42.86583 1.113397e-07 4.084648e-07</w:t>
      </w:r>
    </w:p>
    <w:p w14:paraId="1E991449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Error 70 18.74110 0.267730                                            </w:t>
      </w:r>
    </w:p>
    <w:p w14:paraId="71ABF541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Total 76 32.80192                                                     </w:t>
      </w:r>
    </w:p>
    <w:p w14:paraId="6CECBC6A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</w:p>
    <w:p w14:paraId="51052DCF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</w:p>
    <w:p w14:paraId="4EBB4F6A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Drop one QTL at a time ANOVA table: </w:t>
      </w:r>
    </w:p>
    <w:p w14:paraId="02E280F6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----------------------------------  </w:t>
      </w:r>
    </w:p>
    <w:p w14:paraId="4679FC9D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        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df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Type III SS    </w:t>
      </w: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t>LOD  %</w:t>
      </w:r>
      <w:proofErr w:type="spellStart"/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>var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F value 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Pvalue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(Chi2) </w:t>
      </w: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Pvalue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(F)   </w:t>
      </w:r>
    </w:p>
    <w:p w14:paraId="50DCE30F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>1@28.0   1      2.0279 1.7179 6.182   7.575        0.005   0.00753 **</w:t>
      </w:r>
    </w:p>
    <w:p w14:paraId="44FFA6FE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t>1@324.0  1</w:t>
      </w:r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     0.4868 0.4288 1.484   1.818        0.160   0.18186   </w:t>
      </w:r>
    </w:p>
    <w:p w14:paraId="1EB6315F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 xml:space="preserve">3@21.0   1      1.2024 1.0397 3.666   4.491        0.029   0.03762 * </w:t>
      </w:r>
    </w:p>
    <w:p w14:paraId="4E90CDD9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t>3@107.0  1</w:t>
      </w:r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     1.9384 1.6456 5.909   7.240        0.006   0.00891 **</w:t>
      </w:r>
    </w:p>
    <w:p w14:paraId="2435CA7C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t>5@426.0  1</w:t>
      </w:r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     1.2296 1.0626 3.749   4.593        0.027   0.03558 * </w:t>
      </w:r>
    </w:p>
    <w:p w14:paraId="3EA5C9EB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>7@4.0    1      2.5974 2.1702 7.918   9.702        0.002   0.00267 **</w:t>
      </w:r>
    </w:p>
    <w:p w14:paraId="79401229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r w:rsidRPr="002C2BBE">
        <w:rPr>
          <w:rFonts w:ascii="Consolas" w:hAnsi="Consolas" w:cs="Courier New"/>
          <w:color w:val="FFFFFF"/>
          <w:sz w:val="20"/>
          <w:szCs w:val="20"/>
        </w:rPr>
        <w:t>---</w:t>
      </w:r>
    </w:p>
    <w:p w14:paraId="2A05AE46" w14:textId="77777777" w:rsidR="002C2BBE" w:rsidRPr="002C2BBE" w:rsidRDefault="002C2BBE" w:rsidP="002C2B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05" w:lineRule="atLeast"/>
        <w:rPr>
          <w:rFonts w:ascii="Consolas" w:hAnsi="Consolas" w:cs="Courier New"/>
          <w:color w:val="FFFFFF"/>
          <w:sz w:val="20"/>
          <w:szCs w:val="20"/>
        </w:rPr>
      </w:pPr>
      <w:proofErr w:type="spellStart"/>
      <w:r w:rsidRPr="002C2BBE">
        <w:rPr>
          <w:rFonts w:ascii="Consolas" w:hAnsi="Consolas" w:cs="Courier New"/>
          <w:color w:val="FFFFFF"/>
          <w:sz w:val="20"/>
          <w:szCs w:val="20"/>
        </w:rPr>
        <w:t>Signif</w:t>
      </w:r>
      <w:proofErr w:type="spell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. codes:  0 ‘***’ 0.001 ‘**’ 0.01 ‘*’ 0.05 ‘.’ 0.1 </w:t>
      </w:r>
      <w:proofErr w:type="gramStart"/>
      <w:r w:rsidRPr="002C2BBE">
        <w:rPr>
          <w:rFonts w:ascii="Consolas" w:hAnsi="Consolas" w:cs="Courier New"/>
          <w:color w:val="FFFFFF"/>
          <w:sz w:val="20"/>
          <w:szCs w:val="20"/>
        </w:rPr>
        <w:t>‘ ’</w:t>
      </w:r>
      <w:proofErr w:type="gramEnd"/>
      <w:r w:rsidRPr="002C2BBE">
        <w:rPr>
          <w:rFonts w:ascii="Consolas" w:hAnsi="Consolas" w:cs="Courier New"/>
          <w:color w:val="FFFFFF"/>
          <w:sz w:val="20"/>
          <w:szCs w:val="20"/>
        </w:rPr>
        <w:t xml:space="preserve"> 1</w:t>
      </w:r>
    </w:p>
    <w:p w14:paraId="3583C528" w14:textId="77777777" w:rsidR="002C2BBE" w:rsidRDefault="002C2BBE"/>
    <w:sectPr w:rsidR="002C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43E"/>
    <w:rsid w:val="000E55EE"/>
    <w:rsid w:val="0010343E"/>
    <w:rsid w:val="00183F60"/>
    <w:rsid w:val="001C68BE"/>
    <w:rsid w:val="00272BF1"/>
    <w:rsid w:val="002C2BBE"/>
    <w:rsid w:val="0044473B"/>
    <w:rsid w:val="005B2CB5"/>
    <w:rsid w:val="006C3E96"/>
    <w:rsid w:val="007006C1"/>
    <w:rsid w:val="008425F5"/>
    <w:rsid w:val="00980BD5"/>
    <w:rsid w:val="00980F62"/>
    <w:rsid w:val="00A55A29"/>
    <w:rsid w:val="00AB16DF"/>
    <w:rsid w:val="00AB26DB"/>
    <w:rsid w:val="00AD4E63"/>
    <w:rsid w:val="00B266D0"/>
    <w:rsid w:val="00C64FBB"/>
    <w:rsid w:val="00CA4261"/>
    <w:rsid w:val="00D12837"/>
    <w:rsid w:val="00DE30EC"/>
    <w:rsid w:val="00F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A0760"/>
  <w15:docId w15:val="{B520295C-F4B8-4C3E-A7D8-8CD933E0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43E"/>
    <w:pPr>
      <w:autoSpaceDE w:val="0"/>
      <w:autoSpaceDN w:val="0"/>
      <w:spacing w:after="0" w:line="240" w:lineRule="auto"/>
    </w:pPr>
    <w:rPr>
      <w:rFonts w:ascii="Palatino" w:eastAsia="Times New Roman" w:hAnsi="Palatino" w:cs="Palatin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BB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C2BBE"/>
  </w:style>
  <w:style w:type="character" w:customStyle="1" w:styleId="gghfmyibcob">
    <w:name w:val="gghfmyibcob"/>
    <w:basedOn w:val="DefaultParagraphFont"/>
    <w:rsid w:val="002C2BBE"/>
  </w:style>
  <w:style w:type="paragraph" w:styleId="BalloonText">
    <w:name w:val="Balloon Text"/>
    <w:basedOn w:val="Normal"/>
    <w:link w:val="BalloonTextChar"/>
    <w:uiPriority w:val="99"/>
    <w:semiHidden/>
    <w:unhideWhenUsed/>
    <w:rsid w:val="00C64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BB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264B6-4A3E-4DB0-84A0-9F0EFD84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Burch, Merritt</dc:creator>
  <cp:keywords/>
  <dc:description/>
  <cp:lastModifiedBy>Burch, Merritt</cp:lastModifiedBy>
  <cp:revision>3</cp:revision>
  <dcterms:created xsi:type="dcterms:W3CDTF">2018-01-19T18:51:00Z</dcterms:created>
  <dcterms:modified xsi:type="dcterms:W3CDTF">2018-02-21T19:51:00Z</dcterms:modified>
</cp:coreProperties>
</file>