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Docling Parser Fixture</w:t>
      </w:r>
    </w:p>
    <w:p>
      <w:pPr>
        <w:pStyle w:val="Heading1"/>
      </w:pPr>
      <w:r>
        <w:t>Authentication</w:t>
      </w:r>
    </w:p>
    <w:p>
      <w:r>
        <w:rPr>
          <w:b/>
        </w:rPr>
        <w:t>Access token</w:t>
      </w:r>
      <w:r>
        <w:t xml:space="preserve"> is used for short-lived API access. </w:t>
      </w:r>
      <w:r>
        <w:rPr>
          <w:i/>
        </w:rPr>
        <w:t>Refresh token</w:t>
      </w:r>
      <w:r>
        <w:t xml:space="preserve"> is used to obtain a new access token.</w:t>
      </w:r>
    </w:p>
    <w:p>
      <w:pPr>
        <w:pStyle w:val="Heading2"/>
      </w:pPr>
      <w:r>
        <w:t>Rules</w:t>
      </w:r>
    </w:p>
    <w:p>
      <w:r>
        <w:t>The parser should preserve the reading order of headings, paragraphs, lists, and tables.</w:t>
      </w:r>
    </w:p>
    <w:p>
      <w:pPr>
        <w:pStyle w:val="ListNumber"/>
      </w:pPr>
      <w:r>
        <w:t>First numbered rule</w:t>
      </w:r>
    </w:p>
    <w:p>
      <w:pPr>
        <w:pStyle w:val="ListNumber"/>
      </w:pPr>
      <w:r>
        <w:t>Second numbered rule</w:t>
      </w:r>
    </w:p>
    <w:p>
      <w:pPr>
        <w:pStyle w:val="ListBullet"/>
      </w:pPr>
      <w:r>
        <w:t>Important bullet item</w:t>
      </w:r>
    </w:p>
    <w:p>
      <w:pPr>
        <w:pStyle w:val="ListBullet"/>
      </w:pPr>
      <w:r>
        <w:t>Another bullet item</w:t>
      </w:r>
    </w:p>
    <w:p>
      <w:pPr>
        <w:pStyle w:val="Heading2"/>
      </w:pPr>
      <w:r>
        <w:t>Token lifetime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 type</w:t>
            </w:r>
          </w:p>
        </w:tc>
        <w:tc>
          <w:tcPr>
            <w:tcW w:type="dxa" w:w="2880"/>
          </w:tcPr>
          <w:p>
            <w:r>
              <w:t>Lifetime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Access</w:t>
            </w:r>
          </w:p>
        </w:tc>
        <w:tc>
          <w:tcPr>
            <w:tcW w:type="dxa" w:w="2880"/>
          </w:tcPr>
          <w:p>
            <w:r>
              <w:t>15 minutes</w:t>
            </w:r>
          </w:p>
        </w:tc>
        <w:tc>
          <w:tcPr>
            <w:tcW w:type="dxa" w:w="2880"/>
          </w:tcPr>
          <w:p>
            <w:r>
              <w:t>API requests</w:t>
            </w:r>
          </w:p>
        </w:tc>
      </w:tr>
      <w:tr>
        <w:tc>
          <w:tcPr>
            <w:tcW w:type="dxa" w:w="2880"/>
          </w:tcPr>
          <w:p>
            <w:r>
              <w:t>Refresh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  <w:tc>
          <w:tcPr>
            <w:tcW w:type="dxa" w:w="2880"/>
          </w:tcPr>
          <w:p>
            <w:r>
              <w:t>Issue new access tokens</w:t>
            </w:r>
          </w:p>
        </w:tc>
      </w:tr>
    </w:tbl>
    <w:p>
      <w:r>
        <w:t>This paragraph comes after the table and is useful for checking reading order.</w:t>
      </w:r>
    </w:p>
    <w:p>
      <w:pPr>
        <w:pStyle w:val="Heading1"/>
      </w:pPr>
      <w:r>
        <w:t>Retrieval</w:t>
      </w:r>
    </w:p>
    <w:p>
      <w:r>
        <w:t>A user query is converted into an embedding and compared with chunk embeddings in pgvector.</w:t>
      </w:r>
    </w:p>
    <w:p>
      <w:pPr>
        <w:pStyle w:val="Heading2"/>
      </w:pPr>
      <w:r>
        <w:t>Nested topic</w:t>
      </w:r>
    </w:p>
    <w:p>
      <w:r>
        <w:t>Structure decides where to cut. Tokens decide whether we must cut.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