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n419ock2vz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1) Суть бренда и позиционирование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«Аджайлта» — от </w:t>
      </w:r>
      <w:r w:rsidDel="00000000" w:rsidR="00000000" w:rsidRPr="00000000">
        <w:rPr>
          <w:i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+ «та» (динамика, “та-да!”, движение вперёд).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Обещание:</w:t>
      </w:r>
      <w:r w:rsidDel="00000000" w:rsidR="00000000" w:rsidRPr="00000000">
        <w:rPr>
          <w:rtl w:val="0"/>
        </w:rPr>
        <w:t xml:space="preserve"> «Разворачиваем движения в системные изменения» (коучинговая фасилитация, диагностика, стратегические ретроспективы). Основы — коучинговый подход из курса: безопасное пространство, вопросы, SMART/GROW, высокая доля практики, адаптация для команд/1-1/стратегических сессий.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Кому:</w:t>
      </w:r>
      <w:r w:rsidDel="00000000" w:rsidR="00000000" w:rsidRPr="00000000">
        <w:rPr>
          <w:rtl w:val="0"/>
        </w:rPr>
        <w:t xml:space="preserve"> Scrum-мастера и Agile-коучи, руководители/HR, продуктовые и трансформационные команды.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Доказательства:</w:t>
      </w:r>
      <w:r w:rsidDel="00000000" w:rsidR="00000000" w:rsidRPr="00000000">
        <w:rPr>
          <w:rtl w:val="0"/>
        </w:rPr>
        <w:t xml:space="preserve"> акцент на практику &gt;50%, готовые шаблоны/чек-листы/MIRO-доски, online-формат (Zoom) — всё переносится в консалтинг (кейсы/артефакты).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Сообщение в одной фразе: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Аджайлта.</w:t>
      </w:r>
      <w:r w:rsidDel="00000000" w:rsidR="00000000" w:rsidRPr="00000000">
        <w:rPr>
          <w:rtl w:val="0"/>
        </w:rPr>
        <w:t xml:space="preserve"> Коучинговая фасилитация и ретроспективы, которые превращают импульс в результат.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uddt3sfqktq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2) Архитектура сообщения (Messaging)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Что даём</w:t>
      </w:r>
      <w:r w:rsidDel="00000000" w:rsidR="00000000" w:rsidRPr="00000000">
        <w:rPr>
          <w:rtl w:val="0"/>
        </w:rPr>
        <w:t xml:space="preserve">: диагностика команды/процессов, фасилитация ретро и стратегических сессий, пакет артефактов «после» (план действий, роли/сроки, метрики).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 работаем</w:t>
      </w:r>
      <w:r w:rsidDel="00000000" w:rsidR="00000000" w:rsidRPr="00000000">
        <w:rPr>
          <w:rtl w:val="0"/>
        </w:rPr>
        <w:t xml:space="preserve">: коучинговые вопросы, GROW/SMART, безопасная динамика, практико-ориентированный формат.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Доказательства</w:t>
      </w:r>
      <w:r w:rsidDel="00000000" w:rsidR="00000000" w:rsidRPr="00000000">
        <w:rPr>
          <w:rtl w:val="0"/>
        </w:rPr>
        <w:t xml:space="preserve">: примеры эффективности (сокращение времени задач, предсказуемость), отзывы, чек-листы.</w:t>
        <w:br w:type="textWrapping"/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ecy8ms10j8c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3) Вербальная айдентика (Tone of Voice)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Спокойный уверенный коуч: </w:t>
      </w:r>
      <w:r w:rsidDel="00000000" w:rsidR="00000000" w:rsidRPr="00000000">
        <w:rPr>
          <w:b w:val="1"/>
          <w:rtl w:val="0"/>
        </w:rPr>
        <w:t xml:space="preserve">ясно, конкретно, по делу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Формулы: «наблюдения → смысл → действие → метрика». Избегаем жаргона; апеллируем к показателям и безопасной сфере общения (психологическая безопасность). Основано на структуре курса и коучинговой логике.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Теги-рефрены бренда: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движение, ясность, договорённость, ответственность, метрики, рост.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gex4nkxkutn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4) Визуальная система (тренды-2025 + применимость)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Палитра.</w:t>
      </w:r>
      <w:r w:rsidDel="00000000" w:rsidR="00000000" w:rsidRPr="00000000">
        <w:rPr>
          <w:rtl w:val="0"/>
        </w:rPr>
        <w:t xml:space="preserve"> Тёплые нейтрали + уверенный акцент (кнопки/активы) — тренд на «уютные» палитры с достаточным контрастом. Для B2B — доверие и читаемость &gt; яркости.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Типографика.</w:t>
      </w:r>
      <w:r w:rsidDel="00000000" w:rsidR="00000000" w:rsidRPr="00000000">
        <w:rPr>
          <w:rtl w:val="0"/>
        </w:rPr>
        <w:t xml:space="preserve"> Пара: </w:t>
      </w:r>
      <w:r w:rsidDel="00000000" w:rsidR="00000000" w:rsidRPr="00000000">
        <w:rPr>
          <w:b w:val="1"/>
          <w:rtl w:val="0"/>
        </w:rPr>
        <w:t xml:space="preserve">variable grotesk</w:t>
      </w:r>
      <w:r w:rsidDel="00000000" w:rsidR="00000000" w:rsidRPr="00000000">
        <w:rPr>
          <w:rtl w:val="0"/>
        </w:rPr>
        <w:t xml:space="preserve"> (основа, адаптивность и производительность) + </w:t>
      </w:r>
      <w:r w:rsidDel="00000000" w:rsidR="00000000" w:rsidRPr="00000000">
        <w:rPr>
          <w:b w:val="1"/>
          <w:rtl w:val="0"/>
        </w:rPr>
        <w:t xml:space="preserve">акцентный serif</w:t>
      </w:r>
      <w:r w:rsidDel="00000000" w:rsidR="00000000" w:rsidRPr="00000000">
        <w:rPr>
          <w:rtl w:val="0"/>
        </w:rPr>
        <w:t xml:space="preserve"> в заголовках/цитатах (человечность, статус). Variable-шрифты дают гибкость осей и снижение веса/количества файлов.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Композиция.</w:t>
      </w:r>
      <w:r w:rsidDel="00000000" w:rsidR="00000000" w:rsidRPr="00000000">
        <w:rPr>
          <w:rtl w:val="0"/>
        </w:rPr>
        <w:t xml:space="preserve"> Чётко сегментированные крупные блоки («бенто-секции»), много воздуха, сканируемость списками и информативными заголовками.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Изображения.</w:t>
      </w:r>
      <w:r w:rsidDel="00000000" w:rsidR="00000000" w:rsidRPr="00000000">
        <w:rPr>
          <w:rtl w:val="0"/>
        </w:rPr>
        <w:t xml:space="preserve"> Реальные команды/сцены фасилитации; допускается гибрид «фото + абстрактные фигуры» под сетку бренда. Короткое видео-превью повышает вовлечённость.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Моушн.</w:t>
      </w:r>
      <w:r w:rsidDel="00000000" w:rsidR="00000000" w:rsidRPr="00000000">
        <w:rPr>
          <w:rtl w:val="0"/>
        </w:rPr>
        <w:t xml:space="preserve"> Микровзаимодействия 150–250 мс, ease-out; «ритм спринта»: вход — акцент — фиксация. Аккуратная кинетическая типографика — дозировано. (Умеренность анимации подчёркивалась и в рекомендациях.)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Доступность.</w:t>
      </w:r>
      <w:r w:rsidDel="00000000" w:rsidR="00000000" w:rsidRPr="00000000">
        <w:rPr>
          <w:rtl w:val="0"/>
        </w:rPr>
        <w:t xml:space="preserve"> WCAG 2.2 AA (новые критерия про фокус/таргет-размер, когнитивную доступность).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W3C</w:t>
        </w:r>
      </w:hyperlink>
      <w:r w:rsidDel="00000000" w:rsidR="00000000" w:rsidRPr="00000000">
        <w:rPr>
          <w:rtl w:val="0"/>
        </w:rPr>
        <w:t xml:space="preserve">,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Level Access</w:t>
        </w:r>
      </w:hyperlink>
      <w:r w:rsidDel="00000000" w:rsidR="00000000" w:rsidRPr="00000000">
        <w:rPr>
          <w:rtl w:val="0"/>
        </w:rPr>
        <w:t xml:space="preserve">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Перформанс.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Core Web Vitals: LCP≤2.5s, CLS≤0.1,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INP≤200 мс</w:t>
      </w:r>
      <w:r w:rsidDel="00000000" w:rsidR="00000000" w:rsidRPr="00000000">
        <w:rPr>
          <w:rtl w:val="0"/>
        </w:rPr>
        <w:t xml:space="preserve"> (INP — новый CWV c 12.03.2024).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web.dev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9o59vkx4i2h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5) Лого-направления (эсквиз)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Знак «Δ-движение»</w:t>
      </w:r>
      <w:r w:rsidDel="00000000" w:rsidR="00000000" w:rsidRPr="00000000">
        <w:rPr>
          <w:rtl w:val="0"/>
        </w:rPr>
        <w:t xml:space="preserve">: интеграция стрелки/дельты в «А»; смысл — изменение/шаг вперёд.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Грид-лента/канбан</w:t>
      </w:r>
      <w:r w:rsidDel="00000000" w:rsidR="00000000" w:rsidRPr="00000000">
        <w:rPr>
          <w:rtl w:val="0"/>
        </w:rPr>
        <w:t xml:space="preserve">: модульные «карточки» (бенто) как паттерн; анимация — мягкие сдвиги.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Mo-mark</w:t>
      </w:r>
      <w:r w:rsidDel="00000000" w:rsidR="00000000" w:rsidRPr="00000000">
        <w:rPr>
          <w:rtl w:val="0"/>
        </w:rPr>
        <w:t xml:space="preserve">: монохромный знак, уверенный контраст на нейтральном фоне — для строгого B2B.</w:t>
        <w:br w:type="textWrapping"/>
        <w:t xml:space="preserve"> (Финальная проверка контраста/минимумов — см. AC ниже; нейминг/знак завязать на идею «из импульса в действие».)</w:t>
        <w:br w:type="textWrapping"/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eeqfn44189u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6) Контент-стратегия и SEO (B2B консалтинг)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E-E-A-T</w:t>
      </w:r>
      <w:r w:rsidDel="00000000" w:rsidR="00000000" w:rsidRPr="00000000">
        <w:rPr>
          <w:rtl w:val="0"/>
        </w:rPr>
        <w:t xml:space="preserve"> (опыт-экспертиза-авторитет-доверие): авторские лонгриды/кейсы с подписью экспертов, понятная страница «Методика», прозрачные биографии и доказательства.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Google for Developers</w:t>
        </w:r>
      </w:hyperlink>
      <w:r w:rsidDel="00000000" w:rsidR="00000000" w:rsidRPr="00000000">
        <w:rPr>
          <w:rtl w:val="0"/>
        </w:rPr>
        <w:t xml:space="preserve">,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services.google.com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Thought Leadership:</w:t>
      </w:r>
      <w:r w:rsidDel="00000000" w:rsidR="00000000" w:rsidRPr="00000000">
        <w:rPr>
          <w:rtl w:val="0"/>
        </w:rPr>
        <w:t xml:space="preserve"> регулярные обзоры по ретроспективам/коучингу/системному мышлению; отчёты и вебинары — формат, который B2B-покупатели связывают с доверием и дифференциацией.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edelman.com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 лендинга: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после hero — «проблема → решение курса/услуги → для кого → программа/подход → отзывы → CTA с датой/форматом/ценой → FAQ». Это повышает понятность и конверсию.</w:t>
        <w:br w:type="textWrapping"/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o0nq0xjx8z2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7) Цели и метрики бренда (бизнес + продукт)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Бизнес-гейты: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CR формы ≥4%, CTR главного CTA ≥12%, корректные UTM. (В проектных шаблонах зашиты CR/CTR как целевые метрики успеха.)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Опыт/техника: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LCP ≤2.5s, CLS ≤0.1, INP ≤200 мс; WCAG 2.2 AA; 0 ошибок в консоли; изолированные стили с префиксом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.retro-*</w:t>
      </w:r>
      <w:r w:rsidDel="00000000" w:rsidR="00000000" w:rsidRPr="00000000">
        <w:rPr>
          <w:rtl w:val="0"/>
        </w:rPr>
        <w:t xml:space="preserve">. (Применяем к сайту «Аджайлта».)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web.dev</w:t>
        </w:r>
      </w:hyperlink>
      <w:r w:rsidDel="00000000" w:rsidR="00000000" w:rsidRPr="00000000">
        <w:rPr>
          <w:rtl w:val="0"/>
        </w:rPr>
        <w:t xml:space="preserve">,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W3C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wpgl7gsler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8) Трекинг и атрибуция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События: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view_section{id}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click_cta{id}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submit_form{hasEmail, role}</w:t>
      </w:r>
      <w:r w:rsidDel="00000000" w:rsidR="00000000" w:rsidRPr="00000000">
        <w:rPr>
          <w:rtl w:val="0"/>
        </w:rPr>
        <w:t xml:space="preserve"> + UTM в hidden-полях лида. (Базовый план из шаблона трекинга.)</w:t>
        <w:br w:type="textWrapping"/>
        <w:t xml:space="preserve"> Backend-контракт для лидов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/api/leads</w:t>
      </w:r>
      <w:r w:rsidDel="00000000" w:rsidR="00000000" w:rsidRPr="00000000">
        <w:rPr>
          <w:rtl w:val="0"/>
        </w:rPr>
        <w:t xml:space="preserve"> (имя, email, UTM-мета) — пригодится для MVP.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5kg9a6izum4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9) Мини-система бренда (рабочие дефолты)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Цвета (WIP-палитра)</w:t>
        <w:br w:type="textWrapping"/>
      </w:r>
      <w:r w:rsidDel="00000000" w:rsidR="00000000" w:rsidRPr="00000000">
        <w:rPr>
          <w:rtl w:val="0"/>
        </w:rPr>
        <w:t xml:space="preserve"> Base: тёплый нейтральный (фон), Ink: почти-чёрный (текст), Accent: глубокий синий/оранжевый (CTA/выделения). Выбор обусловлён трендом на мягкие, но контрастные палитры для B2B.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Типо-пара:</w:t>
      </w:r>
      <w:r w:rsidDel="00000000" w:rsidR="00000000" w:rsidRPr="00000000">
        <w:rPr>
          <w:rtl w:val="0"/>
        </w:rPr>
        <w:t xml:space="preserve"> Grotesk Variable (UI/тексты), Serif (заголовки/кейсы). Доступность размера и межстрочия — первична; variable снижает вес и даёт гибкость.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Компоненты:</w:t>
      </w:r>
      <w:r w:rsidDel="00000000" w:rsidR="00000000" w:rsidRPr="00000000">
        <w:rPr>
          <w:rtl w:val="0"/>
        </w:rPr>
        <w:t xml:space="preserve"> бенто-карты (принципы/кейсы/программы), блоковые CTA с датой/длительностью, фиксированное якорное меню.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Моушн-токены: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duration-150/200/250ms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easing-easeOut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spring-overshoot-small</w:t>
      </w:r>
      <w:r w:rsidDel="00000000" w:rsidR="00000000" w:rsidRPr="00000000">
        <w:rPr>
          <w:rtl w:val="0"/>
        </w:rPr>
        <w:t xml:space="preserve"> — только для интерактивов (hover/focus/expand).</w:t>
        <w:br w:type="textWrapping"/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6981fi8pifi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10) Acceptance Criteria + тест-кейсы (брендбук/сайт)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A. Лого и контраст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AC: Знак читаем при ширине 24px; контраст знака к фону ≥4.5:1; есть моно-версия.</w:t>
        <w:br w:type="textWrapping"/>
        <w:t xml:space="preserve"> Тест: Сгенерировать мок на трёх фонах (светлый/тёмный/акцент); проверить контраст/APCA; скрин-снапшоты.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 Палитра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AC: Для пары «текст/фон» контраст ≥4.5:1; для «CTA-текст/CTA-фон» ≥4.5:1; акцент не конфликтует с состояниями (hover/focus).</w:t>
        <w:br w:type="textWrapping"/>
        <w:t xml:space="preserve"> Тест: Автотест контраста для всех токенов; ручная проверка фокуса клавиатурой.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W3C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C. Типографика</w:t>
        <w:br w:type="textWrapping"/>
      </w:r>
      <w:r w:rsidDel="00000000" w:rsidR="00000000" w:rsidRPr="00000000">
        <w:rPr>
          <w:rtl w:val="0"/>
        </w:rPr>
        <w:t xml:space="preserve"> AC: Заголовки 28–40+ px на мобиле; базовая 16–18 px; variable-шрифт одной загрузкой покрывает минимум 3 веса.</w:t>
        <w:br w:type="textWrapping"/>
        <w:t xml:space="preserve"> Тест: Lighthouse/Performance — суммарный вес шрифтов &lt;160 КБ; визуальные снапшоты при изменении weight/opsz.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web.dev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D. Структура лендинга</w:t>
        <w:br w:type="textWrapping"/>
      </w:r>
      <w:r w:rsidDel="00000000" w:rsidR="00000000" w:rsidRPr="00000000">
        <w:rPr>
          <w:rtl w:val="0"/>
        </w:rPr>
        <w:t xml:space="preserve"> AC: После hero видна «ближайшая дата, 7 часов, Zoom» и повтор в финальном CTA; есть якорное меню; блоки «Что получите/Для кого/Программа/Отзывы/FAQ».</w:t>
        <w:br w:type="textWrapping"/>
        <w:t xml:space="preserve"> Тест: Юзабили-прогон по сценариям; трекинг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view_section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click_cta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E. Перформанс/веб-виталы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AC: LCP ≤2.5s, CLS ≤0.1, INP ≤200 мс на мобильном 4G.</w:t>
        <w:br w:type="textWrapping"/>
        <w:t xml:space="preserve"> Тест: WebPageTest/CrUX; web-виталки в CI; регресс при каждом релизе.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web.dev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F. Доступность (WCAG 2.2 AA)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AC: Видимый фокус; размер интерактивов ≥24×24 px; доступность клавиатурой; «skip to content».</w:t>
        <w:br w:type="textWrapping"/>
        <w:t xml:space="preserve"> Тест: axe DevTools + ручные кейсы по новым критериям 2.2.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Deque University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G. Контент/SEO (E-E-A-T)</w:t>
        <w:br w:type="textWrapping"/>
      </w:r>
      <w:r w:rsidDel="00000000" w:rsidR="00000000" w:rsidRPr="00000000">
        <w:rPr>
          <w:rtl w:val="0"/>
        </w:rPr>
        <w:t xml:space="preserve"> AC: У каждого материала — автор, экспертиза, дата, кейс/данные; есть страница «Методика».</w:t>
        <w:br w:type="textWrapping"/>
        <w:t xml:space="preserve"> Тест: Контент-аудит чек-листом Google; индексация/сниппеты.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Google for Developers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bo4btl7e37f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11) Бэклог запуска бренда (P0–P2, коротко)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P0. Айдентика 0.9:</w:t>
      </w:r>
      <w:r w:rsidDel="00000000" w:rsidR="00000000" w:rsidRPr="00000000">
        <w:rPr>
          <w:rtl w:val="0"/>
        </w:rPr>
        <w:t xml:space="preserve"> логотип/знак, палитра, типо-пара, иконки, моушн-токены; бренд-гид v1 (PDF).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P0. Лендинг v1:</w:t>
      </w:r>
      <w:r w:rsidDel="00000000" w:rsidR="00000000" w:rsidRPr="00000000">
        <w:rPr>
          <w:rtl w:val="0"/>
        </w:rPr>
        <w:t xml:space="preserve"> структура по гайду + дата/длительность в hero; трекинг из шаблона.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P1. Контент-ядро:</w:t>
      </w:r>
      <w:r w:rsidDel="00000000" w:rsidR="00000000" w:rsidRPr="00000000">
        <w:rPr>
          <w:rtl w:val="0"/>
        </w:rPr>
        <w:t xml:space="preserve"> 3 кейса + 2 лонгрида (ретроспектива как сервис, системный подход); страница «Методика».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P1. Соцдоказательства:</w:t>
      </w:r>
      <w:r w:rsidDel="00000000" w:rsidR="00000000" w:rsidRPr="00000000">
        <w:rPr>
          <w:rtl w:val="0"/>
        </w:rPr>
        <w:t xml:space="preserve"> отзывы/логотипы клиентов (если можно) + видео-превью.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P2. Пакет презентаций:</w:t>
      </w:r>
      <w:r w:rsidDel="00000000" w:rsidR="00000000" w:rsidRPr="00000000">
        <w:rPr>
          <w:rtl w:val="0"/>
        </w:rPr>
        <w:t xml:space="preserve"> брендовые темплейты (в т.ч. бенто-слайды); ассеты для вебинаров.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eb.dev/blog/inp-cwv-launch?utm_source=chatgpt.com" TargetMode="External"/><Relationship Id="rId11" Type="http://schemas.openxmlformats.org/officeDocument/2006/relationships/hyperlink" Target="https://services.google.com/fh/files/misc/hsw-sqrg.pdf?utm_source=chatgpt.com" TargetMode="External"/><Relationship Id="rId22" Type="http://schemas.openxmlformats.org/officeDocument/2006/relationships/hyperlink" Target="https://developers.google.com/search/docs/fundamentals/creating-helpful-content?utm_source=chatgpt.com" TargetMode="External"/><Relationship Id="rId10" Type="http://schemas.openxmlformats.org/officeDocument/2006/relationships/hyperlink" Target="https://developers.google.com/search/docs/fundamentals/creating-helpful-content?utm_source=chatgpt.com" TargetMode="External"/><Relationship Id="rId21" Type="http://schemas.openxmlformats.org/officeDocument/2006/relationships/hyperlink" Target="https://dequeuniversity.com/resources/wcag-2.2/?utm_source=chatgpt.com" TargetMode="External"/><Relationship Id="rId13" Type="http://schemas.openxmlformats.org/officeDocument/2006/relationships/hyperlink" Target="https://www.edelman.com/expertise/Business-Marketing/2025-b2b-thought-leadership-report?utm_source=chatgpt.com" TargetMode="External"/><Relationship Id="rId12" Type="http://schemas.openxmlformats.org/officeDocument/2006/relationships/hyperlink" Target="https://services.google.com/fh/files/misc/hsw-sqrg.pdf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dev/blog/inp-cwv-launch?utm_source=chatgpt.com" TargetMode="External"/><Relationship Id="rId15" Type="http://schemas.openxmlformats.org/officeDocument/2006/relationships/hyperlink" Target="https://www.w3.org/TR/WCAG22/?utm_source=chatgpt.com" TargetMode="External"/><Relationship Id="rId14" Type="http://schemas.openxmlformats.org/officeDocument/2006/relationships/hyperlink" Target="https://web.dev/blog/inp-cwv-launch?utm_source=chatgpt.com" TargetMode="External"/><Relationship Id="rId17" Type="http://schemas.openxmlformats.org/officeDocument/2006/relationships/hyperlink" Target="https://fonts.google.com/knowledge/introducing_type/introducing_variable_fonts?utm_source=chatgpt.com" TargetMode="External"/><Relationship Id="rId16" Type="http://schemas.openxmlformats.org/officeDocument/2006/relationships/hyperlink" Target="https://www.w3.org/TR/WCAG22/?utm_source=chatgpt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eb.dev/articles/variable-fonts?utm_source=chatgpt.com" TargetMode="External"/><Relationship Id="rId6" Type="http://schemas.openxmlformats.org/officeDocument/2006/relationships/hyperlink" Target="https://www.w3.org/TR/WCAG22/?utm_source=chatgpt.com" TargetMode="External"/><Relationship Id="rId18" Type="http://schemas.openxmlformats.org/officeDocument/2006/relationships/hyperlink" Target="https://www.w3.org/WAI/standards-guidelines/wcag/new-in-22/?utm_source=chatgpt.com" TargetMode="External"/><Relationship Id="rId7" Type="http://schemas.openxmlformats.org/officeDocument/2006/relationships/hyperlink" Target="https://www.levelaccess.com/blog/wcag-2-2-aa-summary-and-checklist-for-website-owners/?utm_source=chatgpt.com" TargetMode="External"/><Relationship Id="rId8" Type="http://schemas.openxmlformats.org/officeDocument/2006/relationships/hyperlink" Target="https://www.levelaccess.com/blog/wcag-2-2-aa-summary-and-checklist-for-website-owners/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