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Output</w:t>
      </w:r>
      <w:r>
        <w:t xml:space="preserve"> </w:t>
      </w:r>
      <w:r>
        <w:t xml:space="preserve">Quality</w:t>
      </w:r>
      <w:r>
        <w:t xml:space="preserve"> </w:t>
      </w:r>
      <w:r>
        <w:t xml:space="preserve">&amp;</w:t>
      </w:r>
      <w:r>
        <w:t xml:space="preserve"> </w:t>
      </w:r>
      <w:r>
        <w:t xml:space="preserve">Governance</w:t>
      </w:r>
      <w:r>
        <w:t xml:space="preserve"> </w:t>
      </w:r>
      <w:r>
        <w:t xml:space="preserve">Lab</w:t>
      </w:r>
      <w:r>
        <w:t xml:space="preserve"> </w:t>
      </w:r>
      <w:r>
        <w:t xml:space="preserve">—</w:t>
      </w:r>
      <w:r>
        <w:t xml:space="preserve"> </w:t>
      </w:r>
      <w:r>
        <w:t xml:space="preserve">Bestuurssamenvatting</w:t>
      </w:r>
    </w:p>
    <w:p>
      <w:pPr>
        <w:pStyle w:val="Author"/>
      </w:pPr>
      <w:r>
        <w:t xml:space="preserve">Bestuurdersportaal</w:t>
      </w:r>
      <w:r>
        <w:t xml:space="preserve"> </w:t>
      </w:r>
      <w:r>
        <w:t xml:space="preserve">·</w:t>
      </w:r>
      <w:r>
        <w:t xml:space="preserve"> </w:t>
      </w:r>
      <w:r>
        <w:t xml:space="preserve">concept</w:t>
      </w:r>
      <w:r>
        <w:t xml:space="preserve"> </w:t>
      </w:r>
      <w:r>
        <w:t xml:space="preserve">ter</w:t>
      </w:r>
      <w:r>
        <w:t xml:space="preserve"> </w:t>
      </w:r>
      <w:r>
        <w:t xml:space="preserve">besluitvorming</w:t>
      </w:r>
      <w:r>
        <w:t xml:space="preserve"> </w:t>
      </w:r>
      <w:r>
        <w:t xml:space="preserve">(v0.3)</w:t>
      </w:r>
    </w:p>
    <w:p>
      <w:pPr>
        <w:pStyle w:val="Date"/>
      </w:pPr>
      <w:r>
        <w:t xml:space="preserve">10</w:t>
      </w:r>
      <w:r>
        <w:t xml:space="preserve"> </w:t>
      </w:r>
      <w:r>
        <w:t xml:space="preserve">juli</w:t>
      </w:r>
      <w:r>
        <w:t xml:space="preserve"> </w:t>
      </w:r>
      <w:r>
        <w:t xml:space="preserve">2026</w:t>
      </w:r>
    </w:p>
    <w:p>
      <w:pPr>
        <w:pStyle w:val="Heading1"/>
      </w:pPr>
      <w:bookmarkStart w:id="20" w:name="waar-het-over-gaat"/>
      <w:r>
        <w:t xml:space="preserve">Waar het over gaat</w:t>
      </w:r>
      <w:bookmarkEnd w:id="20"/>
    </w:p>
    <w:p>
      <w:pPr>
        <w:pStyle w:val="FirstParagraph"/>
      </w:pPr>
      <w:r>
        <w:t xml:space="preserve">Het Bestuurdersportaal ondersteunt pensioenfondsbesturen met AI: bestuurlijke samenvattingen, besluitvoorbereiding, documentanalyse, brongebonden beantwoording, risicoanalyse, actielijsten en compliance-duiding. Voor die bestuurlijke context is</w:t>
      </w:r>
      <w:r>
        <w:t xml:space="preserve"> </w:t>
      </w:r>
      <w:r>
        <w:t xml:space="preserve">“</w:t>
      </w:r>
      <w:r>
        <w:t xml:space="preserve">een prompt die werkt</w:t>
      </w:r>
      <w:r>
        <w:t xml:space="preserve">”</w:t>
      </w:r>
      <w:r>
        <w:t xml:space="preserve"> </w:t>
      </w:r>
      <w:r>
        <w:t xml:space="preserve">niet genoeg. Een bestuur, een auditor en een toezichthouder moeten kunnen zien dat AI-output brongebonden, herleidbaar, consistent en bestuurlijk bruikbaar is — en dat dit structureel wordt getoetst en geborgd, niet incidenteel.</w:t>
      </w:r>
    </w:p>
    <w:p>
      <w:pPr>
        <w:pStyle w:val="BodyText"/>
      </w:pPr>
      <w:r>
        <w:t xml:space="preserve">Het AI Output Quality &amp; Governance Lab is de kwaliteits- en verantwoordingslaag die dat mogelijk maakt. Het is nadrukkelijk geen losse omgeving voor prompt-experimenten, maar een beheersmaatregel binnen verantwoord AI-gebruik: het levert het bewijs dat AI-output aantoonbaar is getoetst. Dit werkt de bestaande, ad-hoc kwaliteitsborging (nu per feature, in losse documenten) uit tot een systematische, tenant-veilige en auditbare aanpak over alle AI-functies.</w:t>
      </w:r>
    </w:p>
    <w:p>
      <w:pPr>
        <w:pStyle w:val="Heading1"/>
      </w:pPr>
      <w:bookmarkStart w:id="21" w:name="gevraagd-besluit"/>
      <w:r>
        <w:t xml:space="preserve">Gevraagd besluit</w:t>
      </w:r>
      <w:bookmarkEnd w:id="21"/>
    </w:p>
    <w:p>
      <w:pPr>
        <w:pStyle w:val="FirstParagraph"/>
      </w:pPr>
      <w:r>
        <w:t xml:space="preserve">Aan het bestuur wordt gevraagd in te stemmen met de volgende richting en de bouw vrij te geven ná afronding van de technische verkenning (fase 1):</w:t>
      </w:r>
    </w:p>
    <w:p>
      <w:pPr>
        <w:numPr>
          <w:ilvl w:val="0"/>
          <w:numId w:val="1001"/>
        </w:numPr>
        <w:pStyle w:val="Compact"/>
      </w:pPr>
      <w:r>
        <w:t xml:space="preserve">Vaststellen van</w:t>
      </w:r>
      <w:r>
        <w:t xml:space="preserve"> </w:t>
      </w:r>
      <w:r>
        <w:rPr>
          <w:b/>
        </w:rPr>
        <w:t xml:space="preserve">Optie A</w:t>
      </w:r>
      <w:r>
        <w:t xml:space="preserve"> </w:t>
      </w:r>
      <w:r>
        <w:t xml:space="preserve">als architectuur: de operationele Lab-functionaliteit komt in de platform-backoffice van de leverancier; het fonds krijgt in het portaal uitsluitend een read-only AI-Kwaliteits- en Verantwoordingsrapport (de assurance-view). Fondsen beheren in de MVP geen prompts, modelconfiguraties, testsets of regressieruns.</w:t>
      </w:r>
    </w:p>
    <w:p>
      <w:pPr>
        <w:numPr>
          <w:ilvl w:val="0"/>
          <w:numId w:val="1001"/>
        </w:numPr>
        <w:pStyle w:val="Compact"/>
      </w:pPr>
      <w:r>
        <w:t xml:space="preserve">Vaststellen van de</w:t>
      </w:r>
      <w:r>
        <w:t xml:space="preserve"> </w:t>
      </w:r>
      <w:r>
        <w:rPr>
          <w:b/>
        </w:rPr>
        <w:t xml:space="preserve">MVP-features</w:t>
      </w:r>
      <w:r>
        <w:t xml:space="preserve">: bestuurlijke samenvatting, brongebonden vraagbeantwoording en besluitvoorbereiding.</w:t>
      </w:r>
    </w:p>
    <w:p>
      <w:pPr>
        <w:numPr>
          <w:ilvl w:val="0"/>
          <w:numId w:val="1001"/>
        </w:numPr>
        <w:pStyle w:val="Compact"/>
      </w:pPr>
      <w:r>
        <w:t xml:space="preserve">Kennisnemen van het onderscheid tussen</w:t>
      </w:r>
      <w:r>
        <w:t xml:space="preserve"> </w:t>
      </w:r>
      <w:r>
        <w:rPr>
          <w:b/>
        </w:rPr>
        <w:t xml:space="preserve">productbrede assurance</w:t>
      </w:r>
      <w:r>
        <w:t xml:space="preserve"> </w:t>
      </w:r>
      <w:r>
        <w:t xml:space="preserve">(MVP) en</w:t>
      </w:r>
      <w:r>
        <w:t xml:space="preserve"> </w:t>
      </w:r>
      <w:r>
        <w:rPr>
          <w:b/>
        </w:rPr>
        <w:t xml:space="preserve">fonds-specifieke assurance</w:t>
      </w:r>
      <w:r>
        <w:t xml:space="preserve"> </w:t>
      </w:r>
      <w:r>
        <w:t xml:space="preserve">(latere uitbreiding) — zie hieronder.</w:t>
      </w:r>
    </w:p>
    <w:p>
      <w:pPr>
        <w:numPr>
          <w:ilvl w:val="0"/>
          <w:numId w:val="1001"/>
        </w:numPr>
        <w:pStyle w:val="Compact"/>
      </w:pPr>
      <w:r>
        <w:t xml:space="preserve">Kennisnemen van en instemmen met de</w:t>
      </w:r>
      <w:r>
        <w:t xml:space="preserve"> </w:t>
      </w:r>
      <w:r>
        <w:rPr>
          <w:b/>
        </w:rPr>
        <w:t xml:space="preserve">overige bouwbesluiten</w:t>
      </w:r>
      <w:r>
        <w:t xml:space="preserve"> </w:t>
      </w:r>
      <w:r>
        <w:t xml:space="preserve">(zie</w:t>
      </w:r>
      <w:r>
        <w:t xml:space="preserve"> </w:t>
      </w:r>
      <w:r>
        <w:t xml:space="preserve">“</w:t>
      </w:r>
      <w:r>
        <w:t xml:space="preserve">Te nemen besluiten vóór bouw</w:t>
      </w:r>
      <w:r>
        <w:t xml:space="preserve">”</w:t>
      </w:r>
      <w:r>
        <w:t xml:space="preserve">).</w:t>
      </w:r>
    </w:p>
    <w:p>
      <w:pPr>
        <w:numPr>
          <w:ilvl w:val="0"/>
          <w:numId w:val="1001"/>
        </w:numPr>
        <w:pStyle w:val="Compact"/>
      </w:pPr>
      <w:r>
        <w:t xml:space="preserve">Vrijgeven van</w:t>
      </w:r>
      <w:r>
        <w:t xml:space="preserve"> </w:t>
      </w:r>
      <w:r>
        <w:rPr>
          <w:b/>
        </w:rPr>
        <w:t xml:space="preserve">fase 1 (technische verkenning)</w:t>
      </w:r>
      <w:r>
        <w:t xml:space="preserve">; de daadwerkelijke MVP-bouw start pas na expliciet akkoord op de uitkomsten daarvan.</w:t>
      </w:r>
    </w:p>
    <w:p>
      <w:pPr>
        <w:pStyle w:val="Heading1"/>
      </w:pPr>
      <w:bookmarkStart w:id="22" w:name="wat-betekent-dit-concreet-voor-het-fonds"/>
      <w:r>
        <w:t xml:space="preserve">Wat betekent dit concreet voor het fonds?</w:t>
      </w:r>
      <w:bookmarkEnd w:id="22"/>
    </w:p>
    <w:p>
      <w:pPr>
        <w:pStyle w:val="FirstParagraph"/>
      </w:pPr>
      <w:r>
        <w:t xml:space="preserve">Bestuurders kunnen erop vertrouwen dat AI-antwoorden brongebonden zijn en geen ongefundeerde claims bevatten, omdat dat structureel en herhaalbaar wordt getoetst. De vijf reeds benoemde AI-governancefuncties krijgen concreet bewijsmateriaal in handen in plaats van een gevoel. AI blijft ondersteunend — het bereidt voor, het besluit niet (human-in-the-loop); de module bewaakt juist dat AI-output besluitgericht maar niet besluitvervangend is.</w:t>
      </w:r>
    </w:p>
    <w:p>
      <w:pPr>
        <w:pStyle w:val="BodyText"/>
      </w:pPr>
      <w:r>
        <w:t xml:space="preserve">Elk oordeel is herleidbaar naar prompt, model, brondata en configuratie, en wordt onveranderlijk (append-only) vastgelegd. Dit sluit aan op de EU AI Act-voorbereiding: de module levert het verantwoordingsdossier; de juridische classificatie blijft mensenwerk. Wijzigingen aan prompts, modellen of documenten worden getoetst op kwaliteitsverbetering óf -verlies (regressie) vóórdat ze bestuurders bereiken. En een read-only kwaliteits- en verantwoordingsrapport maakt de borging zichtbaar voor wie geen techniek wil zien, maar wél zekerheid nodig heeft — bruikbaar in het bestuursdossier richting auditor en toezichthouder.</w:t>
      </w:r>
    </w:p>
    <w:p>
      <w:pPr>
        <w:pStyle w:val="Heading1"/>
      </w:pPr>
      <w:bookmarkStart w:id="23" w:name="wat-bewijst-de-mvp-wel-en-niet"/>
      <w:r>
        <w:t xml:space="preserve">Wat bewijst de MVP wel en niet?</w:t>
      </w:r>
      <w:bookmarkEnd w:id="23"/>
    </w:p>
    <w:p>
      <w:pPr>
        <w:pStyle w:val="FirstParagraph"/>
      </w:pPr>
      <w:r>
        <w:t xml:space="preserve">Dit onderscheid is bestuurlijk belangrijk om verwachtingen zuiver te houden.</w:t>
      </w:r>
    </w:p>
    <w:p>
      <w:pPr>
        <w:pStyle w:val="BodyText"/>
      </w:pPr>
      <w:r>
        <w:rPr>
          <w:b/>
        </w:rPr>
        <w:t xml:space="preserve">Wat de MVP wél bewijst — productbrede assurance.</w:t>
      </w:r>
      <w:r>
        <w:t xml:space="preserve"> </w:t>
      </w:r>
      <w:r>
        <w:t xml:space="preserve">De MVP toetst de kwaliteit van de AI-</w:t>
      </w:r>
      <w:r>
        <w:rPr>
          <w:i/>
        </w:rPr>
        <w:t xml:space="preserve">features</w:t>
      </w:r>
      <w:r>
        <w:t xml:space="preserve"> </w:t>
      </w:r>
      <w:r>
        <w:t xml:space="preserve">zelf: de prompt, de modelconfiguratie en het uitvoergedrag, gemeten op representatieve, synthetische testgevallen (demofonds Horizon). Het bewijst dat de AI-functie als product brongebonden, consistent en bestuurlijk bruikbaar werkt, en dat een wijziging aan prompt of model geen verslechtering (regressie) veroorzaakt vóór vrijgave. Dit is onderdeel van elke productrelease en regressiecontrole.</w:t>
      </w:r>
    </w:p>
    <w:p>
      <w:pPr>
        <w:pStyle w:val="BodyText"/>
      </w:pPr>
      <w:r>
        <w:rPr>
          <w:b/>
        </w:rPr>
        <w:t xml:space="preserve">Wat de MVP (nog) niet bewijst — fonds-specifieke assurance.</w:t>
      </w:r>
      <w:r>
        <w:t xml:space="preserve"> </w:t>
      </w:r>
      <w:r>
        <w:t xml:space="preserve">De MVP toetst niet of elk afzonderlijk, echt fondsdocument inhoudelijk correct is verwerkt. Dat vraagt om toetsing op echte fondsdocumenten of fonds-eigen testsets, en daarmee om fonds-scoped opslag, strikte toegangsbeveiliging (RLS), retentiebeleid en striktere audit. Dat is bewust een latere uitbreiding, geen MVP. Het read-only rapport zegt daarom expliciet dat een controle is uitgevoerd op representatieve testgevallen en niet dat elk fondsdocument afzonderlijk is gevalideerd. Zo wordt voorkomen dat het rapport wordt gelezen als een juridische of inhoudelijke garantie op alle AI-output.</w:t>
      </w:r>
    </w:p>
    <w:p>
      <w:pPr>
        <w:pStyle w:val="Heading1"/>
      </w:pPr>
      <w:bookmarkStart w:id="24" w:name="hoe-het-werkt-in-één-alinea"/>
      <w:r>
        <w:t xml:space="preserve">Hoe het werkt — in één alinea</w:t>
      </w:r>
      <w:bookmarkEnd w:id="24"/>
    </w:p>
    <w:p>
      <w:pPr>
        <w:pStyle w:val="FirstParagraph"/>
      </w:pPr>
      <w:r>
        <w:t xml:space="preserve">Vaste, herbruikbare testgevallen per AI-feature worden reproduceerbaar nagedraaid met dezelfde techniek die live draait. Elk antwoord wordt beoordeeld via deterministische controles, heuristische controles, een AI-beoordelaar (LLM-as-judge), menselijke review en harde blokkadecriteria voor kritieke fouten. De uitkomsten worden vergeleken met de vorige vrijgegeven versie (regressie), samengevat in een dashboard en vastgelegd in een auditrapport. Een mens geeft go/no-go; het systeem levert het advies en het bewijs. Een kritieke bevinding blokkeert vrijgave, ongeacht de gemiddelde score.</w:t>
      </w:r>
    </w:p>
    <w:p>
      <w:pPr>
        <w:pStyle w:val="Heading1"/>
      </w:pPr>
      <w:bookmarkStart w:id="25" w:name="te-nemen-besluiten-vóór-bouw"/>
      <w:r>
        <w:t xml:space="preserve">Te nemen besluiten vóór bouw</w:t>
      </w:r>
      <w:bookmarkEnd w:id="25"/>
    </w:p>
    <w:p>
      <w:pPr>
        <w:pStyle w:val="FirstParagraph"/>
      </w:pPr>
      <w:r>
        <w:t xml:space="preserve">De volgende besluiten moeten expliciet worden genomen voordat de bouw start:</w:t>
      </w:r>
    </w:p>
    <w:p>
      <w:pPr>
        <w:numPr>
          <w:ilvl w:val="0"/>
          <w:numId w:val="1002"/>
        </w:numPr>
        <w:pStyle w:val="Compact"/>
      </w:pPr>
      <w:r>
        <w:rPr>
          <w:b/>
        </w:rPr>
        <w:t xml:space="preserve">Architectuur</w:t>
      </w:r>
      <w:r>
        <w:t xml:space="preserve">: Optie A vastleggen (aanbevolen).</w:t>
      </w:r>
    </w:p>
    <w:p>
      <w:pPr>
        <w:numPr>
          <w:ilvl w:val="0"/>
          <w:numId w:val="1002"/>
        </w:numPr>
        <w:pStyle w:val="Compact"/>
      </w:pPr>
      <w:r>
        <w:rPr>
          <w:b/>
        </w:rPr>
        <w:t xml:space="preserve">MVP-features</w:t>
      </w:r>
      <w:r>
        <w:t xml:space="preserve">: bestuurlijke samenvatting, brongebonden vraagbeantwoording, besluitvoorbereiding (voorstel).</w:t>
      </w:r>
    </w:p>
    <w:p>
      <w:pPr>
        <w:numPr>
          <w:ilvl w:val="0"/>
          <w:numId w:val="1002"/>
        </w:numPr>
        <w:pStyle w:val="Compact"/>
      </w:pPr>
      <w:r>
        <w:rPr>
          <w:b/>
        </w:rPr>
        <w:t xml:space="preserve">Scope van assurance</w:t>
      </w:r>
      <w:r>
        <w:t xml:space="preserve">: MVP = productbrede assurance; fonds-specifieke assurance expliciet als latere uitbreiding.</w:t>
      </w:r>
    </w:p>
    <w:p>
      <w:pPr>
        <w:numPr>
          <w:ilvl w:val="0"/>
          <w:numId w:val="1002"/>
        </w:numPr>
        <w:pStyle w:val="Compact"/>
      </w:pPr>
      <w:r>
        <w:rPr>
          <w:b/>
        </w:rPr>
        <w:t xml:space="preserve">Naamgeving tabellen</w:t>
      </w:r>
      <w:r>
        <w:t xml:space="preserve">: Engelse namen met</w:t>
      </w:r>
      <w:r>
        <w:t xml:space="preserve"> </w:t>
      </w:r>
      <w:r>
        <w:rPr>
          <w:rStyle w:val="VerbatimChar"/>
        </w:rPr>
        <w:t xml:space="preserve">aqlab_</w:t>
      </w:r>
      <w:r>
        <w:t xml:space="preserve">-prefix (advies).</w:t>
      </w:r>
    </w:p>
    <w:p>
      <w:pPr>
        <w:numPr>
          <w:ilvl w:val="0"/>
          <w:numId w:val="1002"/>
        </w:numPr>
        <w:pStyle w:val="Compact"/>
      </w:pPr>
      <w:r>
        <w:rPr>
          <w:b/>
        </w:rPr>
        <w:t xml:space="preserve">Menselijke review</w:t>
      </w:r>
      <w:r>
        <w:t xml:space="preserve">: verplicht bij kritieke testcases, steekproefsgewijs bij overige.</w:t>
      </w:r>
    </w:p>
    <w:p>
      <w:pPr>
        <w:numPr>
          <w:ilvl w:val="0"/>
          <w:numId w:val="1002"/>
        </w:numPr>
        <w:pStyle w:val="Compact"/>
      </w:pPr>
      <w:r>
        <w:rPr>
          <w:b/>
        </w:rPr>
        <w:t xml:space="preserve">Snapshotstrategie</w:t>
      </w:r>
      <w:r>
        <w:t xml:space="preserve">: standaard alleen verwijzingen (refs_only); volledige kopieën buiten de MVP tenzij noodzakelijk.</w:t>
      </w:r>
    </w:p>
    <w:p>
      <w:pPr>
        <w:numPr>
          <w:ilvl w:val="0"/>
          <w:numId w:val="1002"/>
        </w:numPr>
        <w:pStyle w:val="Compact"/>
      </w:pPr>
      <w:r>
        <w:rPr>
          <w:b/>
        </w:rPr>
        <w:t xml:space="preserve">Achtergrondjobs</w:t>
      </w:r>
      <w:r>
        <w:t xml:space="preserve">: eerst een technische verkenning (spike) uitvoeren.</w:t>
      </w:r>
    </w:p>
    <w:p>
      <w:pPr>
        <w:numPr>
          <w:ilvl w:val="0"/>
          <w:numId w:val="1002"/>
        </w:numPr>
        <w:pStyle w:val="Compact"/>
      </w:pPr>
      <w:r>
        <w:rPr>
          <w:b/>
        </w:rPr>
        <w:t xml:space="preserve">Generatiekern</w:t>
      </w:r>
      <w:r>
        <w:t xml:space="preserve">: eerst de generatiefunctie losmaken zodat test en productie exact dezelfde techniek gebruiken.</w:t>
      </w:r>
    </w:p>
    <w:p>
      <w:pPr>
        <w:numPr>
          <w:ilvl w:val="0"/>
          <w:numId w:val="1002"/>
        </w:numPr>
        <w:pStyle w:val="Compact"/>
      </w:pPr>
      <w:r>
        <w:rPr>
          <w:b/>
        </w:rPr>
        <w:t xml:space="preserve">Testverkeer</w:t>
      </w:r>
      <w:r>
        <w:t xml:space="preserve">: strikt gescheiden houden van het productie-auditspoor (advies).</w:t>
      </w:r>
    </w:p>
    <w:p>
      <w:pPr>
        <w:numPr>
          <w:ilvl w:val="0"/>
          <w:numId w:val="1002"/>
        </w:numPr>
        <w:pStyle w:val="Compact"/>
      </w:pPr>
      <w:r>
        <w:rPr>
          <w:b/>
        </w:rPr>
        <w:t xml:space="preserve">Retentiebeleid</w:t>
      </w:r>
      <w:r>
        <w:t xml:space="preserve">: bewaartermijnen voor outputs, context, snapshots en auditexports vastleggen (AVG).</w:t>
      </w:r>
    </w:p>
    <w:p>
      <w:pPr>
        <w:pStyle w:val="Heading1"/>
      </w:pPr>
      <w:bookmarkStart w:id="26" w:name="belangrijke-ontwerpkeuze-waarom-optie-a"/>
      <w:r>
        <w:t xml:space="preserve">Belangrijke ontwerpkeuze — waarom Optie A</w:t>
      </w:r>
      <w:bookmarkEnd w:id="26"/>
    </w:p>
    <w:p>
      <w:pPr>
        <w:pStyle w:val="FirstParagraph"/>
      </w:pPr>
      <w:r>
        <w:t xml:space="preserve">De operationele module (testgevallen beheren, versies vergelijken, regressie bewaken) is productbreed engineering- en governancewerk en hoort thuis in de platform-backoffice van de leverancier. Optie A is daarom de gekozen voorkeursarchitectuur: het fonds krijgt een read-only verantwoordingsrapport, testbrondata blijft strikt gescheiden, en productbrede overzichten tonen uitsluitend scores, nooit ruwe fondsinhoud over tenantgrenzen heen. De variant waarin een fondsbeheerder zelf prompts en testsets zou beheren is bewust niet gekozen: dat zou een fondsbeheerder de facto prompt-engineeringrechten geven en productbrede regressie onmogelijk maken. Fonds-eigen validatie of fonds-eigen testsets kunnen later worden toegevoegd (fonds-specifieke assurance), maar zitten bewust niet in de MVP.</w:t>
      </w:r>
    </w:p>
    <w:p>
      <w:pPr>
        <w:pStyle w:val="Heading1"/>
      </w:pPr>
      <w:bookmarkStart w:id="27" w:name="wat-doen-we-bewust-nog-niet-in-de-mvp"/>
      <w:r>
        <w:t xml:space="preserve">Wat doen we bewust nog niet in de MVP?</w:t>
      </w:r>
      <w:bookmarkEnd w:id="27"/>
    </w:p>
    <w:p>
      <w:pPr>
        <w:pStyle w:val="FirstParagraph"/>
      </w:pPr>
      <w:r>
        <w:t xml:space="preserve">Bewust buiten de MVP: fonds-specifieke assurance op echte fondsdocumenten, fonds-eigen promptbeheer, volledig workflowmanagement, een volledig geautomatiseerde CI/CD-blokkade, geavanceerde source-recall-analyse, multi-model-orchestratie, complexe kostenoptimalisatie, een apart auditor-portaal, volledige (materialized) snapshots tenzij noodzakelijk, en uitgebreide per-fonds configuratie van scorecriteria. De MVP is bewust licht maar waardevol: 20–30 vaste testgevallen voor maximaal 3 AI-features, één baseline vs één challenger vergelijken, automatische controles, een LLM-as-judge met vast schema, eenvoudige menselijke review voor kritieke gevallen, een regressie-overzicht, een read-only assurance-rapport en een eenvoudige auditexport.</w:t>
      </w:r>
    </w:p>
    <w:p>
      <w:pPr>
        <w:pStyle w:val="Heading1"/>
      </w:pPr>
      <w:bookmarkStart w:id="28" w:name="commerciële-propositie-concept"/>
      <w:r>
        <w:t xml:space="preserve">Commerciële propositie (concept)</w:t>
      </w:r>
      <w:bookmarkEnd w:id="28"/>
    </w:p>
    <w:p>
      <w:pPr>
        <w:pStyle w:val="BlockText"/>
      </w:pPr>
      <w:r>
        <w:rPr>
          <w:b/>
        </w:rPr>
        <w:t xml:space="preserve">Aantoonbaar getoetste AI voor pensioenfondsbesturen.</w:t>
      </w:r>
    </w:p>
    <w:p>
      <w:pPr>
        <w:pStyle w:val="BlockText"/>
      </w:pPr>
      <w:r>
        <w:t xml:space="preserve">AI ondersteunt uw bestuur alleen als u erop kunt vertrouwen. Ons AI-Kwaliteits- en Verantwoordingslab toetst elk type AI-antwoord — samenvatting, besluitvoorbereiding, risicoanalyse, brongebonden beantwoording — structureel op bronbinding, volledigheid en bestuurlijke bruikbaarheid. Elke uitkomst is herleidbaar naar bron, prompt, model en configuratie, en onveranderlijk vastgelegd voor audit en toezicht. Geen black box, maar aantoonbaar getoetste kwaliteit — klaar voor bestuur, auditor en toezichthouder.</w:t>
      </w:r>
    </w:p>
    <w:p>
      <w:pPr>
        <w:pStyle w:val="Heading1"/>
      </w:pPr>
      <w:bookmarkStart w:id="29" w:name="wat-dit-rapport-wel-en-niet-is"/>
      <w:r>
        <w:t xml:space="preserve">Wat dit rapport wel en niet is</w:t>
      </w:r>
      <w:bookmarkEnd w:id="29"/>
    </w:p>
    <w:p>
      <w:pPr>
        <w:pStyle w:val="FirstParagraph"/>
      </w:pPr>
      <w:r>
        <w:t xml:space="preserve">De scores ondersteunen kwaliteitsborging en releasebesluitvorming, maar vormen geen juridische garantie en vervangen geen menselijke verantwoordelijkheid. De indicatoren meten toetsbare vormen van brongebondenheid, volledigheid en bestuurlijke bruikbaarheid; zij bewijzen niet dat elke feitelijke claim juist is. Een productbrede controle toetst de AI-feature op representatieve testgevallen en bewijst niet dat elk afzonderlijk fondsdocument inhoudelijk is gevalideerd. De eindverantwoordelijkheid voor besluitvorming blijft menselijk.</w:t>
      </w:r>
    </w:p>
    <w:p>
      <w:pPr>
        <w:pStyle w:val="Heading1"/>
      </w:pPr>
      <w:bookmarkStart w:id="30" w:name="openstaande-vragen-ter-validatie"/>
      <w:r>
        <w:t xml:space="preserve">Openstaande vragen (ter validatie)</w:t>
      </w:r>
      <w:bookmarkEnd w:id="30"/>
    </w:p>
    <w:p>
      <w:pPr>
        <w:numPr>
          <w:ilvl w:val="0"/>
          <w:numId w:val="1003"/>
        </w:numPr>
        <w:pStyle w:val="Compact"/>
      </w:pPr>
      <w:r>
        <w:t xml:space="preserve">Bevestiging van de drie MVP-features.</w:t>
      </w:r>
    </w:p>
    <w:p>
      <w:pPr>
        <w:numPr>
          <w:ilvl w:val="0"/>
          <w:numId w:val="1003"/>
        </w:numPr>
        <w:pStyle w:val="Compact"/>
      </w:pPr>
      <w:r>
        <w:t xml:space="preserve">Is menselijke review verplicht bij álle kritieke testgevallen, of geldt een minimumpercentage?</w:t>
      </w:r>
    </w:p>
    <w:p>
      <w:pPr>
        <w:numPr>
          <w:ilvl w:val="0"/>
          <w:numId w:val="1003"/>
        </w:numPr>
        <w:pStyle w:val="Compact"/>
      </w:pPr>
      <w:r>
        <w:t xml:space="preserve">Formele EU AI Act-classificatie: provider of deployer? (juridische input nodig; het Lab levert het bewijs, niet het oordeel.)</w:t>
      </w:r>
    </w:p>
    <w:p>
      <w:pPr>
        <w:numPr>
          <w:ilvl w:val="0"/>
          <w:numId w:val="1003"/>
        </w:numPr>
        <w:pStyle w:val="Compact"/>
      </w:pPr>
      <w:r>
        <w:t xml:space="preserve">Wanneer komt fonds-specifieke assurance (toetsing op echte fondsdocumenten) op de roadmap? (bepaalt wanneer tenant-specifieke opslag wordt gebouwd.)</w:t>
      </w:r>
    </w:p>
    <w:p>
      <w:pPr>
        <w:pStyle w:val="Heading1"/>
      </w:pPr>
      <w:bookmarkStart w:id="31" w:name="voorgestelde-mvp-planning-in-drie-fasen"/>
      <w:r>
        <w:t xml:space="preserve">Voorgestelde MVP-planning in drie fasen</w:t>
      </w:r>
      <w:bookmarkEnd w:id="31"/>
    </w:p>
    <w:p>
      <w:pPr>
        <w:pStyle w:val="FirstParagraph"/>
      </w:pPr>
      <w:r>
        <w:rPr>
          <w:b/>
        </w:rPr>
        <w:t xml:space="preserve">Fase 1 — Technische spikes (verkenning).</w:t>
      </w:r>
      <w:r>
        <w:t xml:space="preserve"> </w:t>
      </w:r>
      <w:r>
        <w:t xml:space="preserve">Generatiekern losmaken (headless), achtergrondjobs beleggen, tenanttoegang/veiligheid toetsen en retentiebeleid bepalen. Uitkomst: go/no-go en scherpe planning. Bouw start pas hierna.</w:t>
      </w:r>
    </w:p>
    <w:p>
      <w:pPr>
        <w:pStyle w:val="BodyText"/>
      </w:pPr>
      <w:r>
        <w:rPr>
          <w:b/>
        </w:rPr>
        <w:t xml:space="preserve">Fase 2 — MVP-bouw.</w:t>
      </w:r>
      <w:r>
        <w:t xml:space="preserve"> </w:t>
      </w:r>
      <w:r>
        <w:t xml:space="preserve">Datamodel en migraties (idempotent, RLS aan), platform-console voor testsets/testcases, run-orchestratie met baseline vs challenger, scorekaart, regressie-overzicht, read-only assurance-view en auditexport. Minimaal 20 testgevallen geseed, bij voorkeur op basis van de eerste regressieset (AQLAB-MVP-REGRESSIESET-v0.1).</w:t>
      </w:r>
    </w:p>
    <w:p>
      <w:pPr>
        <w:pStyle w:val="BodyText"/>
      </w:pPr>
      <w:r>
        <w:rPr>
          <w:b/>
        </w:rPr>
        <w:t xml:space="preserve">Fase 3 — Validatie en eerste auditrapport.</w:t>
      </w:r>
      <w:r>
        <w:t xml:space="preserve"> </w:t>
      </w:r>
      <w:r>
        <w:t xml:space="preserve">Cross-tenant tests groen, judge-kalibratie tegen menselijke review, eerste volledige run op de golden set en oplevering van het eerste auditrapport als aantoonbaar resultaat.</w:t>
      </w:r>
    </w:p>
    <w:p>
      <w:pPr>
        <w:pStyle w:val="Heading1"/>
      </w:pPr>
      <w:bookmarkStart w:id="32" w:name="concrete-vervolgstappen"/>
      <w:r>
        <w:t xml:space="preserve">Concrete vervolgstappen</w:t>
      </w:r>
      <w:bookmarkEnd w:id="32"/>
    </w:p>
    <w:p>
      <w:pPr>
        <w:numPr>
          <w:ilvl w:val="0"/>
          <w:numId w:val="1004"/>
        </w:numPr>
        <w:pStyle w:val="Compact"/>
      </w:pPr>
      <w:r>
        <w:t xml:space="preserve">Besluit over Optie A en de MVP-features (dit document).</w:t>
      </w:r>
    </w:p>
    <w:p>
      <w:pPr>
        <w:numPr>
          <w:ilvl w:val="0"/>
          <w:numId w:val="1004"/>
        </w:numPr>
        <w:pStyle w:val="Compact"/>
      </w:pPr>
      <w:r>
        <w:t xml:space="preserve">Fase 1 starten: de vier technische spikes uitvoeren.</w:t>
      </w:r>
    </w:p>
    <w:p>
      <w:pPr>
        <w:numPr>
          <w:ilvl w:val="0"/>
          <w:numId w:val="1004"/>
        </w:numPr>
        <w:pStyle w:val="Compact"/>
      </w:pPr>
      <w:r>
        <w:t xml:space="preserve">Eerste 20–30 testgevallen met acceptatiecriteria vaststellen met de Product Owner AI en de Risk &amp; Compliance Reviewer (basis: AQLAB-MVP-REGRESSIESET-v0.1).</w:t>
      </w:r>
    </w:p>
    <w:p>
      <w:pPr>
        <w:numPr>
          <w:ilvl w:val="0"/>
          <w:numId w:val="1004"/>
        </w:numPr>
        <w:pStyle w:val="Compact"/>
      </w:pPr>
      <w:r>
        <w:t xml:space="preserve">Datamodel en RLS vastleggen in idempotente migraties, inclusief uitbreiding van de cross-tenant testsuite.</w:t>
      </w:r>
    </w:p>
    <w:p>
      <w:pPr>
        <w:numPr>
          <w:ilvl w:val="0"/>
          <w:numId w:val="1004"/>
        </w:numPr>
        <w:pStyle w:val="Compact"/>
      </w:pPr>
      <w:r>
        <w:t xml:space="preserve">MVP bouwen na expliciet akkoord; oplevering met dashboard en eerste auditrapport.</w:t>
      </w:r>
    </w:p>
    <w:p>
      <w:r>
        <w:pict>
          <v:rect style="width:0;height:1.5pt" o:hralign="center" o:hrstd="t" o:hr="t"/>
        </w:pict>
      </w:r>
    </w:p>
    <w:p>
      <w:pPr>
        <w:pStyle w:val="FirstParagraph"/>
      </w:pPr>
      <w:r>
        <w:rPr>
          <w:i/>
        </w:rPr>
        <w:t xml:space="preserve">Dit is een concept ter besluitvorming (v0.3). De onderbouwing staat in drie ontwerpdocumenten: architectuur, functioneel ontwerp en technisch ontwerp. Scores en rapporten ondersteunen kwaliteitsborging en releasebesluitvorming; zij vormen geen juridische garantie.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Output Quality &amp; Governance Lab — Bestuurssamenvatting</dc:title>
  <dc:creator>Bestuurdersportaal · concept ter besluitvorming (v0.3)</dc:creator>
  <cp:keywords/>
  <dcterms:created xsi:type="dcterms:W3CDTF">2026-07-10T06:57:11Z</dcterms:created>
  <dcterms:modified xsi:type="dcterms:W3CDTF">2026-07-10T06:57:11Z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juli 2026</vt:lpwstr>
  </property>
</Properties>
</file>