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Output</w:t>
      </w:r>
      <w:r>
        <w:t xml:space="preserve"> </w:t>
      </w:r>
      <w:r>
        <w:t xml:space="preserve">Quality</w:t>
      </w:r>
      <w:r>
        <w:t xml:space="preserve"> </w:t>
      </w:r>
      <w:r>
        <w:t xml:space="preserve">&amp;</w:t>
      </w:r>
      <w:r>
        <w:t xml:space="preserve"> </w:t>
      </w:r>
      <w:r>
        <w:t xml:space="preserve">Governance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Bestuurssamenvatting</w:t>
      </w:r>
    </w:p>
    <w:p>
      <w:pPr>
        <w:pStyle w:val="Author"/>
      </w:pPr>
      <w:r>
        <w:t xml:space="preserve">Bestuurdersportaal</w:t>
      </w:r>
      <w:r>
        <w:t xml:space="preserve"> </w:t>
      </w:r>
      <w:r>
        <w:t xml:space="preserve">·</w:t>
      </w:r>
      <w:r>
        <w:t xml:space="preserve"> </w:t>
      </w:r>
      <w:r>
        <w:t xml:space="preserve">concept</w:t>
      </w:r>
      <w:r>
        <w:t xml:space="preserve"> </w:t>
      </w:r>
      <w:r>
        <w:t xml:space="preserve">ter</w:t>
      </w:r>
      <w:r>
        <w:t xml:space="preserve"> </w:t>
      </w:r>
      <w:r>
        <w:t xml:space="preserve">besluitvorming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juli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aar-het-over-gaat"/>
      <w:r>
        <w:t xml:space="preserve">Waar het over gaat</w:t>
      </w:r>
      <w:bookmarkEnd w:id="20"/>
    </w:p>
    <w:p>
      <w:pPr>
        <w:pStyle w:val="FirstParagraph"/>
      </w:pPr>
      <w:r>
        <w:t xml:space="preserve">Het Bestuurdersportaal ondersteunt pensioenfondsbesturen met AI: bestuurlijke samenvattingen, besluitvoorbereiding, documentanalyse, brongebonden beantwoording, risicoanalyse, actielijsten en compliance-duiding. Voor die bestuurlijke context is</w:t>
      </w:r>
      <w:r>
        <w:t xml:space="preserve"> </w:t>
      </w:r>
      <w:r>
        <w:t xml:space="preserve">“</w:t>
      </w:r>
      <w:r>
        <w:t xml:space="preserve">een prompt die werkt</w:t>
      </w:r>
      <w:r>
        <w:t xml:space="preserve">”</w:t>
      </w:r>
      <w:r>
        <w:t xml:space="preserve"> </w:t>
      </w:r>
      <w:r>
        <w:t xml:space="preserve">niet genoeg. Een bestuur, een auditor en een toezichthouder moeten kunnen</w:t>
      </w:r>
      <w:r>
        <w:t xml:space="preserve"> </w:t>
      </w:r>
      <w:r>
        <w:rPr>
          <w:b/>
        </w:rPr>
        <w:t xml:space="preserve">zien</w:t>
      </w:r>
      <w:r>
        <w:t xml:space="preserve"> </w:t>
      </w:r>
      <w:r>
        <w:t xml:space="preserve">dat AI-output brongebonden, herleidbaar, consistent en bestuurlijk bruikbaar is — en dat dit structureel wordt gemeten en geborgd, niet incidenteel.</w:t>
      </w:r>
    </w:p>
    <w:p>
      <w:pPr>
        <w:pStyle w:val="BodyText"/>
      </w:pPr>
      <w:r>
        <w:t xml:space="preserve">Het</w:t>
      </w:r>
      <w:r>
        <w:t xml:space="preserve"> </w:t>
      </w:r>
      <w:r>
        <w:rPr>
          <w:b/>
        </w:rPr>
        <w:t xml:space="preserve">AI Output Quality &amp; Governance Lab</w:t>
      </w:r>
      <w:r>
        <w:t xml:space="preserve"> </w:t>
      </w:r>
      <w:r>
        <w:t xml:space="preserve">is de kwaliteits- en verantwoordingslaag die dat mogelijk maakt. Het is nadrukkelijk</w:t>
      </w:r>
      <w:r>
        <w:t xml:space="preserve"> </w:t>
      </w:r>
      <w:r>
        <w:rPr>
          <w:b/>
        </w:rPr>
        <w:t xml:space="preserve">geen</w:t>
      </w:r>
      <w:r>
        <w:t xml:space="preserve"> </w:t>
      </w:r>
      <w:r>
        <w:t xml:space="preserve">losse omgeving voor prompt-experimenten, maar een</w:t>
      </w:r>
      <w:r>
        <w:t xml:space="preserve"> </w:t>
      </w:r>
      <w:r>
        <w:rPr>
          <w:b/>
        </w:rPr>
        <w:t xml:space="preserve">beheersmaatregel binnen verantwoord AI-gebruik</w:t>
      </w:r>
      <w:r>
        <w:t xml:space="preserve">: het levert het bewijs dat AI-output aantoonbaar op orde is.</w:t>
      </w:r>
    </w:p>
    <w:p>
      <w:pPr>
        <w:pStyle w:val="BodyText"/>
      </w:pPr>
      <w:r>
        <w:t xml:space="preserve">Dit werkt de bestaande, ad-hoc kwaliteitsborging (nu per feature, in losse documenten) uit tot een systematische, tenant-veilige en auditbare aanpak over alle AI-functies.</w:t>
      </w:r>
    </w:p>
    <w:p>
      <w:pPr>
        <w:pStyle w:val="Heading1"/>
      </w:pPr>
      <w:bookmarkStart w:id="21" w:name="waarom-dit-relevant-is-voor-het-fonds"/>
      <w:r>
        <w:t xml:space="preserve">Waarom dit relevant is voor het fonds</w:t>
      </w:r>
      <w:bookmarkEnd w:id="21"/>
    </w:p>
    <w:p>
      <w:pPr>
        <w:pStyle w:val="FirstParagraph"/>
      </w:pPr>
      <w:r>
        <w:rPr>
          <w:b/>
        </w:rPr>
        <w:t xml:space="preserve">Vertrouwen in AI-output.</w:t>
      </w:r>
      <w:r>
        <w:t xml:space="preserve"> </w:t>
      </w:r>
      <w:r>
        <w:t xml:space="preserve">Bestuurders kunnen erop vertrouwen dat AI-antwoorden brongebonden zijn en geen ongefundeerde claims bevatten, omdat dat structureel en herhaalbaar wordt getoetst.</w:t>
      </w:r>
    </w:p>
    <w:p>
      <w:pPr>
        <w:pStyle w:val="BodyText"/>
      </w:pPr>
      <w:r>
        <w:rPr>
          <w:b/>
        </w:rPr>
        <w:t xml:space="preserve">Verantwoord AI-gebruik.</w:t>
      </w:r>
      <w:r>
        <w:t xml:space="preserve"> </w:t>
      </w:r>
      <w:r>
        <w:t xml:space="preserve">De module maakt de vijf reeds benoemde AI-governancefuncties werkbaar: zij krijgen concreet bewijsmateriaal in handen in plaats van een gevoel.</w:t>
      </w:r>
    </w:p>
    <w:p>
      <w:pPr>
        <w:pStyle w:val="BodyText"/>
      </w:pPr>
      <w:r>
        <w:rPr>
          <w:b/>
        </w:rPr>
        <w:t xml:space="preserve">Bestuurlijke besluitvorming.</w:t>
      </w:r>
      <w:r>
        <w:t xml:space="preserve"> </w:t>
      </w:r>
      <w:r>
        <w:t xml:space="preserve">AI blijft ondersteunend — het bereidt voor, het besluit niet (human-in-the-loop). De module bewaakt juist dat AI-output besluitgericht maar niet besluitvervangend is.</w:t>
      </w:r>
    </w:p>
    <w:p>
      <w:pPr>
        <w:pStyle w:val="BodyText"/>
      </w:pPr>
      <w:r>
        <w:rPr>
          <w:b/>
        </w:rPr>
        <w:t xml:space="preserve">Compliance en audit.</w:t>
      </w:r>
      <w:r>
        <w:t xml:space="preserve"> </w:t>
      </w:r>
      <w:r>
        <w:t xml:space="preserve">Elk oordeel is herleidbaar naar prompt, model, brondata en configuratie, en wordt onveranderlijk (append-only) vastgelegd. Dit sluit aan op de EU AI Act-voorbereiding: de module levert het verantwoordingsdossier; de juridische classificatie blijft mensenwerk.</w:t>
      </w:r>
    </w:p>
    <w:p>
      <w:pPr>
        <w:pStyle w:val="BodyText"/>
      </w:pPr>
      <w:r>
        <w:rPr>
          <w:b/>
        </w:rPr>
        <w:t xml:space="preserve">Risicobeheersing.</w:t>
      </w:r>
      <w:r>
        <w:t xml:space="preserve"> </w:t>
      </w:r>
      <w:r>
        <w:t xml:space="preserve">Wijzigingen aan prompts, modellen of documenten worden getoetst op kwaliteitsverbetering óf -verlies (regressie), vóórdat ze bestuurders bereiken.</w:t>
      </w:r>
    </w:p>
    <w:p>
      <w:pPr>
        <w:pStyle w:val="BodyText"/>
      </w:pPr>
      <w:r>
        <w:rPr>
          <w:b/>
        </w:rPr>
        <w:t xml:space="preserve">Acceptatie door fonds, bestuursbureau en uitvoeringsorganisatie.</w:t>
      </w:r>
      <w:r>
        <w:t xml:space="preserve"> </w:t>
      </w:r>
      <w:r>
        <w:t xml:space="preserve">Een read-only kwaliteits- en verantwoordingsrapport maakt de borging zichtbaar voor wie geen techniek wil zien, maar wél zekerheid nodig heeft.</w:t>
      </w:r>
    </w:p>
    <w:p>
      <w:pPr>
        <w:pStyle w:val="Heading1"/>
      </w:pPr>
      <w:bookmarkStart w:id="22" w:name="hoe-het-werkt-in-één-alinea"/>
      <w:r>
        <w:t xml:space="preserve">Hoe het werkt — in één alinea</w:t>
      </w:r>
      <w:bookmarkEnd w:id="22"/>
    </w:p>
    <w:p>
      <w:pPr>
        <w:pStyle w:val="FirstParagraph"/>
      </w:pPr>
      <w:r>
        <w:t xml:space="preserve">Vaste, herbruikbare testgevallen per AI-feature worden reproduceerbaar nagedraaid met dezelfde techniek die live draait. Elk antwoord wordt op twaalf criteria beoordeeld — via automatische controles, een AI-beoordelaar (LLM-as-judge), menselijke review en harde blokkadecriteria voor kritieke fouten. De uitkomsten worden vergeleken met de vorige versie (regressie), samengevat in een dashboard en vastgelegd in een auditrapport. Een mens geeft go/no-go; het systeem levert het advies en het bewijs.</w:t>
      </w:r>
    </w:p>
    <w:p>
      <w:pPr>
        <w:pStyle w:val="Heading1"/>
      </w:pPr>
      <w:bookmarkStart w:id="23" w:name="belangrijke-ontwerpkeuze-ter-besluit"/>
      <w:r>
        <w:t xml:space="preserve">Belangrijke ontwerpkeuze ter besluit</w:t>
      </w:r>
      <w:bookmarkEnd w:id="23"/>
    </w:p>
    <w:p>
      <w:pPr>
        <w:pStyle w:val="FirstParagraph"/>
      </w:pPr>
      <w:r>
        <w:t xml:space="preserve">De operationele module (testgevallen beheren, versies vergelijken, regressie bewaken) is productbreed engineering- en governancewerk en hoort thuis in de</w:t>
      </w:r>
      <w:r>
        <w:t xml:space="preserve"> </w:t>
      </w:r>
      <w:r>
        <w:rPr>
          <w:b/>
        </w:rPr>
        <w:t xml:space="preserve">platform-backoffice</w:t>
      </w:r>
      <w:r>
        <w:t xml:space="preserve"> </w:t>
      </w:r>
      <w:r>
        <w:t xml:space="preserve">van de leverancier. Het fonds krijgt een</w:t>
      </w:r>
      <w:r>
        <w:t xml:space="preserve"> </w:t>
      </w:r>
      <w:r>
        <w:rPr>
          <w:b/>
        </w:rPr>
        <w:t xml:space="preserve">read-only verantwoordingsrapport</w:t>
      </w:r>
      <w:r>
        <w:t xml:space="preserve"> </w:t>
      </w:r>
      <w:r>
        <w:t xml:space="preserve">in het portaal. Testbrondata blijft strikt per fonds gescheiden (RLS); productbrede overzichten tonen uitsluitend scores, nooit ruwe fondsinhoud over tenantgrenzen heen.</w:t>
      </w:r>
    </w:p>
    <w:p>
      <w:pPr>
        <w:pStyle w:val="BodyText"/>
      </w:pPr>
      <w:r>
        <w:rPr>
          <w:i/>
        </w:rPr>
        <w:t xml:space="preserve">Aandachtspunt bij de aanname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onderbrengen in beheer</w:t>
      </w:r>
      <w:r>
        <w:rPr>
          <w:i/>
        </w:rPr>
        <w:t xml:space="preserve">”</w:t>
      </w:r>
      <w:r>
        <w:rPr>
          <w:i/>
        </w:rPr>
        <w:t xml:space="preserve">:</w:t>
      </w:r>
      <w:r>
        <w:t xml:space="preserve"> </w:t>
      </w:r>
      <w:r>
        <w:t xml:space="preserve">alles in het fonds-beheer plaatsen is technisch mogelijk, maar geeft een fondsbeheerder de facto prompt-engineeringrechten en verhindert productbrede regressie. Vandaar de aanbeveling hierboven. Beide varianten zijn in het architectuurontwerp uitgewerkt.</w:t>
      </w:r>
    </w:p>
    <w:p>
      <w:pPr>
        <w:pStyle w:val="Heading1"/>
      </w:pPr>
      <w:bookmarkStart w:id="24" w:name="voorgestelde-mvp-scope"/>
      <w:r>
        <w:t xml:space="preserve">Voorgestelde MVP-scope</w:t>
      </w:r>
      <w:bookmarkEnd w:id="24"/>
    </w:p>
    <w:p>
      <w:pPr>
        <w:pStyle w:val="FirstParagraph"/>
      </w:pPr>
      <w:r>
        <w:t xml:space="preserve">De MVP is bewust licht maar waardevol: 20–30 vaste testgevallen voor 1–3 AI-features, één-feature-test, prompt- en modelversies vergelijken, automatische controles, een LLM-as-judge-score, eenvoudige menselijke review, een regressie-overzicht en een basisdashboard.</w:t>
      </w:r>
    </w:p>
    <w:p>
      <w:pPr>
        <w:pStyle w:val="BodyText"/>
      </w:pPr>
      <w:r>
        <w:t xml:space="preserve">Bewust</w:t>
      </w:r>
      <w:r>
        <w:t xml:space="preserve"> </w:t>
      </w:r>
      <w:r>
        <w:rPr>
          <w:b/>
        </w:rPr>
        <w:t xml:space="preserve">niet</w:t>
      </w:r>
      <w:r>
        <w:t xml:space="preserve"> </w:t>
      </w:r>
      <w:r>
        <w:t xml:space="preserve">in de MVP: geautomatiseerde CI/CD-blokkade, uitgebreide kostenoptimalisatie, complexe multi-model-orchestratie, geavanceerde source-recall-analyse, uitgebreide auditor-export en volledig workflowmanagement.</w:t>
      </w:r>
    </w:p>
    <w:p>
      <w:pPr>
        <w:pStyle w:val="Heading1"/>
      </w:pPr>
      <w:bookmarkStart w:id="25" w:name="commerciële-propositie-concept"/>
      <w:r>
        <w:t xml:space="preserve">Commerciële propositie (concept)</w:t>
      </w:r>
      <w:bookmarkEnd w:id="25"/>
    </w:p>
    <w:p>
      <w:pPr>
        <w:pStyle w:val="BlockText"/>
      </w:pPr>
      <w:r>
        <w:rPr>
          <w:b/>
        </w:rPr>
        <w:t xml:space="preserve">Aantoonbaar betrouwbare AI voor pensioenfondsbesturen.</w:t>
      </w:r>
    </w:p>
    <w:p>
      <w:pPr>
        <w:pStyle w:val="BlockText"/>
      </w:pPr>
      <w:r>
        <w:t xml:space="preserve">AI ondersteunt uw bestuur alleen als u erop kunt vertrouwen. Ons AI-Kwaliteits- en Verantwoordingslab toetst elk type AI-antwoord — samenvatting, besluitvoorbereiding, risicoanalyse, brongebonden beantwoording — structureel op bronbinding, juistheid, volledigheid en bestuurlijke bruikbaarheid. Elke uitkomst is herleidbaar naar bron, prompt, model en configuratie, en onveranderlijk vastgelegd voor audit en toezicht.</w:t>
      </w:r>
    </w:p>
    <w:p>
      <w:pPr>
        <w:pStyle w:val="BlockText"/>
      </w:pPr>
      <w:r>
        <w:t xml:space="preserve">Zo weet u niet alleen dát de AI antwoord geeft, maar ook dat het antwoord de toets der kritiek doorstaat. Geen black box, maar aantoonbare kwaliteit — klaar voor bestuur, auditor en toezichthouder.</w:t>
      </w:r>
    </w:p>
    <w:p>
      <w:pPr>
        <w:pStyle w:val="Heading1"/>
      </w:pPr>
      <w:bookmarkStart w:id="26" w:name="openstaande-vragen-ter-validatie"/>
      <w:r>
        <w:t xml:space="preserve">Openstaande vragen (ter validatie)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Bouwen fondsen zelf mee aan prompts, of is dat leverancierswerk? (bepaalt de definitieve plek van de module)</w:t>
      </w:r>
    </w:p>
    <w:p>
      <w:pPr>
        <w:numPr>
          <w:ilvl w:val="0"/>
          <w:numId w:val="1001"/>
        </w:numPr>
        <w:pStyle w:val="Compact"/>
      </w:pPr>
      <w:r>
        <w:t xml:space="preserve">Welke 1–3 AI-features starten in de MVP? (voorstel: bestuurlijke samenvatting, brongebonden vraagbeantwoording, besluit-concept)</w:t>
      </w:r>
    </w:p>
    <w:p>
      <w:pPr>
        <w:numPr>
          <w:ilvl w:val="0"/>
          <w:numId w:val="1001"/>
        </w:numPr>
        <w:pStyle w:val="Compact"/>
      </w:pPr>
      <w:r>
        <w:t xml:space="preserve">Is menselijke review verplicht bij kritieke testgevallen, of steekproefsgewijs?</w:t>
      </w:r>
    </w:p>
    <w:p>
      <w:pPr>
        <w:numPr>
          <w:ilvl w:val="0"/>
          <w:numId w:val="1001"/>
        </w:numPr>
        <w:pStyle w:val="Compact"/>
      </w:pPr>
      <w:r>
        <w:t xml:space="preserve">Formele EU AI Act-classificatie: provider of deployer? (juridische input nodig; het Lab levert het bewijs, niet het oordeel)</w:t>
      </w:r>
    </w:p>
    <w:p>
      <w:pPr>
        <w:numPr>
          <w:ilvl w:val="0"/>
          <w:numId w:val="1001"/>
        </w:numPr>
        <w:pStyle w:val="Compact"/>
      </w:pPr>
      <w:r>
        <w:t xml:space="preserve">Technische randvoorwaarde: de generatiekern moet los aanroepbaar zijn en langlopende testruns moeten als achtergrondtaak draaien — beide vergen een korte technische verkenning vóór bouw.</w:t>
      </w:r>
    </w:p>
    <w:p>
      <w:pPr>
        <w:pStyle w:val="Heading1"/>
      </w:pPr>
      <w:bookmarkStart w:id="27" w:name="concrete-vervolgstappen"/>
      <w:r>
        <w:t xml:space="preserve">Concrete vervolgstappen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Besluit over de plek van de module (platform-backoffice + read-only rapport, aanbevolen) en over de MVP-features.</w:t>
      </w:r>
    </w:p>
    <w:p>
      <w:pPr>
        <w:numPr>
          <w:ilvl w:val="0"/>
          <w:numId w:val="1002"/>
        </w:numPr>
        <w:pStyle w:val="Compact"/>
      </w:pPr>
      <w:r>
        <w:t xml:space="preserve">Korte technische verkenning: generatiekern losmaken en achtergrondtaken beleggen (bepalend voor haalbaarheid en planning).</w:t>
      </w:r>
    </w:p>
    <w:p>
      <w:pPr>
        <w:numPr>
          <w:ilvl w:val="0"/>
          <w:numId w:val="1002"/>
        </w:numPr>
        <w:pStyle w:val="Compact"/>
      </w:pPr>
      <w:r>
        <w:t xml:space="preserve">Vaststellen van de eerste 20–30 testgevallen met acceptatiecriteria per feature, samen met de Product Owner AI en de Risk &amp; Compliance Reviewer.</w:t>
      </w:r>
    </w:p>
    <w:p>
      <w:pPr>
        <w:numPr>
          <w:ilvl w:val="0"/>
          <w:numId w:val="1002"/>
        </w:numPr>
        <w:pStyle w:val="Compact"/>
      </w:pPr>
      <w:r>
        <w:t xml:space="preserve">Datamodel en RLS vastleggen in idempotente migraties, inclusief uitbreiding van de cross-tenant testsuite.</w:t>
      </w:r>
    </w:p>
    <w:p>
      <w:pPr>
        <w:numPr>
          <w:ilvl w:val="0"/>
          <w:numId w:val="1002"/>
        </w:numPr>
        <w:pStyle w:val="Compact"/>
      </w:pPr>
      <w:r>
        <w:t xml:space="preserve">MVP bouwen na expliciet akkoord; oplevering met dashboard en eerste auditrapport als aantoonbaar resultaat.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Dit is een concept ter besluitvorming. De onderbouwing staat in drie ontwerpdocumenten: architectuur, functioneel ontwerp en technisch ontwerp. Scores en rapporten geven kwaliteitszekerheid, geen juridische garantie.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Output Quality &amp; Governance Lab — Bestuurssamenvatting</dc:title>
  <dc:creator>Bestuurdersportaal · concept ter besluitvorming</dc:creator>
  <cp:keywords/>
  <dcterms:created xsi:type="dcterms:W3CDTF">2026-07-09T17:47:31Z</dcterms:created>
  <dcterms:modified xsi:type="dcterms:W3CDTF">2026-07-09T17:47:31Z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juli 2026</vt:lpwstr>
  </property>
</Properties>
</file>