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Hernoem en verplaatsproef</w:t>
      </w:r>
    </w:p>
    <w:p>
      <w:pPr>
        <w:spacing w:after="280"/>
      </w:pPr>
      <w:r>
        <w:rPr>
          <w:b/>
          <w:color w:val="464646"/>
          <w:sz w:val="18"/>
        </w:rPr>
        <w:t>Fixture PGB354-DOC-003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Controledag</w:t>
      </w:r>
    </w:p>
    <w:p>
      <w:r>
        <w:rPr>
          <w:b/>
        </w:rPr>
        <w:t xml:space="preserve">Verwacht antwoordfeit. </w:t>
      </w:r>
      <w:r>
        <w:t>De controledag voor Duinglas 84 is woensdag.</w:t>
      </w:r>
    </w:p>
    <w:p>
      <w:r>
        <w:t>De canaryterm Duinglas 84 identificeert uitsluitend fixture PGB354-DOC-003. Gebruik deze tekst niet als echte beleidsinformatie.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PGB354-DOC-003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Duinglas 84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actueel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Doel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PGB Preview-pilot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Hernoem en verplaatsproef</dc:title>
  <dc:subject>Synthetische SharePoint-retrievalfixture voor de PGB Preview-pilot</dc:subject>
  <dc:creator>M365 pilotteam</dc:creator>
  <cp:keywords>synthetisch, testdata, PGB354-DOC-003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