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F2744"/>
          <w:sz w:val="56"/>
          <w:szCs w:val="56"/>
        </w:rPr>
        <w:t xml:space="preserve">Procedures per sector</w:t>
      </w:r>
    </w:p>
    <w:p>
      <w:pPr>
        <w:spacing w:after="240"/>
        <w:jc w:val="center"/>
      </w:pPr>
      <w:r>
        <w:rPr>
          <w:color w:val="595959"/>
          <w:sz w:val="28"/>
          <w:szCs w:val="28"/>
        </w:rPr>
        <w:t xml:space="preserve">Template-ready uitwerkingen voor het bestuurdersportaal</w:t>
      </w:r>
    </w:p>
    <w:p>
      <w:pPr>
        <w:spacing w:after="1200"/>
        <w:jc w:val="center"/>
      </w:pPr>
      <w:r>
        <w:rPr>
          <w:i/>
          <w:iCs/>
          <w:color w:val="C9A84C"/>
          <w:sz w:val="24"/>
          <w:szCs w:val="24"/>
        </w:rPr>
        <w:t xml:space="preserve">Pensioenfondsen · Verzekeraars · Woningcorporaties</w:t>
      </w:r>
    </w:p>
    <w:p>
      <w:pPr>
        <w:spacing w:after="120"/>
        <w:jc w:val="center"/>
      </w:pPr>
      <w:r>
        <w:rPr>
          <w:color w:val="595959"/>
          <w:sz w:val="20"/>
          <w:szCs w:val="20"/>
        </w:rPr>
        <w:t xml:space="preserve">Mei 2026</w:t>
      </w:r>
    </w:p>
    <w:p>
      <w:r>
        <w:br w:type="page"/>
      </w:r>
    </w:p>
    <w:p>
      <w:pPr>
        <w:pStyle w:val="Heading1"/>
      </w:pPr>
      <w:r>
        <w:t xml:space="preserve">Inleiding</w:t>
      </w:r>
    </w:p>
    <w:p>
      <w:pPr>
        <w:spacing w:after="200"/>
      </w:pPr>
      <w:r>
        <w:rPr>
          <w:sz w:val="22"/>
          <w:szCs w:val="22"/>
        </w:rPr>
        <w:t xml:space="preserve">Dit document werkt per sector acht bestuurlijke procedures uit die als template kunnen dienen voor de procedure-engine van het bestuurdersportaal. De selectie volgt het criterium dat een procedure een afgebakend proces is met een duidelijke trigger, een opeenvolging van stappen en een eindstand — doorlopende cycli zoals begroting of jaarrapportage zijn buiten beschouwing gelaten omdat die architectonisch beter passen bij dashboards.</w:t>
      </w:r>
    </w:p>
    <w:p>
      <w:pPr>
        <w:spacing w:after="200"/>
      </w:pPr>
      <w:r>
        <w:rPr>
          <w:sz w:val="22"/>
          <w:szCs w:val="22"/>
        </w:rPr>
        <w:t xml:space="preserve">Per procedure staat eerst een korte context met de bestuurlijke betekenis, gevolgd door een meta-blok met aanleiding, frequentie, eigenaar, doorlooptijd en regelgevingsbasis. Daarna volgen de stappen — elk met een korte beschrijving, een checklist van uit te voeren acties, en markeringen of bewijsstukken of een formeel besluit vereist zijn. Tot slot per procedure een blok met aandachtspunten en typische valkuilen, gebaseerd op wat in de praktijk vaak misgaat.</w:t>
      </w:r>
    </w:p>
    <w:p>
      <w:pPr>
        <w:spacing w:after="200"/>
      </w:pPr>
      <w:r>
        <w:rPr>
          <w:sz w:val="22"/>
          <w:szCs w:val="22"/>
        </w:rPr>
        <w:t xml:space="preserve">De structuur sluit een-op-een aan op de bouwblokken van de procedure-engine: stappen, checklist-items, bewijs-vereisten, besluit-vereisten en eigenaars. Elk template kan direct als JSON-structuur worden ingevoerd in de templates-tabel zodra die naar de database is gemigreerd.</w:t>
      </w:r>
    </w:p>
    <w:p>
      <w:pPr>
        <w:pStyle w:val="Heading2"/>
      </w:pPr>
      <w:r>
        <w:t xml:space="preserve">Leeswijzer</w:t>
      </w:r>
    </w:p>
    <w:p>
      <w:pPr>
        <w:spacing w:after="100"/>
      </w:pPr>
      <w:r>
        <w:rPr>
          <w:sz w:val="22"/>
          <w:szCs w:val="22"/>
        </w:rPr>
        <w:t xml:space="preserve">Per stap zijn twee labels in gebruik. </w:t>
      </w:r>
      <w:r>
        <w:rPr>
          <w:b/>
          <w:bCs/>
          <w:color w:val="0F2744"/>
          <w:sz w:val="22"/>
          <w:szCs w:val="22"/>
        </w:rPr>
        <w:t xml:space="preserve">[bewijs vereist]</w:t>
      </w:r>
      <w:r>
        <w:rPr>
          <w:sz w:val="22"/>
          <w:szCs w:val="22"/>
        </w:rPr>
        <w:t xml:space="preserve"> betekent dat de stap pas kan worden voltooid als ten minste één bewijsstuk is toegevoegd. </w:t>
      </w:r>
      <w:r>
        <w:rPr>
          <w:b/>
          <w:bCs/>
          <w:color w:val="C9A84C"/>
          <w:sz w:val="22"/>
          <w:szCs w:val="22"/>
        </w:rPr>
        <w:t xml:space="preserve">[besluit vereist]</w:t>
      </w:r>
      <w:r>
        <w:rPr>
          <w:sz w:val="22"/>
          <w:szCs w:val="22"/>
        </w:rPr>
        <w:t xml:space="preserve"> betekent dat de stap een formeel bestuurlijk besluit vraagt — vastgelegd met formulering, motivering en datum. Beide labels matchen de validatieregels die de procedure-engine al ondersteunt.</w:t>
      </w:r>
    </w:p>
    <w:p>
      <w:r>
        <w:br w:type="page"/>
      </w:r>
    </w:p>
    <w:p>
      <w:pPr>
        <w:pStyle w:val="Heading1"/>
      </w:pPr>
      <w:r>
        <w:t xml:space="preserve">Pensioenfondsen</w:t>
      </w:r>
    </w:p>
    <w:p>
      <w:pPr>
        <w:spacing w:after="240"/>
      </w:pPr>
      <w:r>
        <w:rPr>
          <w:sz w:val="22"/>
          <w:szCs w:val="22"/>
        </w:rPr>
        <w:t xml:space="preserve">De Pensioenwet, het Wtp-traject en DNB-toezicht bepalen het grootste deel van het procedurelandschap. De Wtp-transitie (uiterlijk 2028) is op dit moment het zwaartepunt voor vrijwel alle fondsen. De acht uitgewerkte procedures hieronder dekken de zwaarste structurele besluiten en de tijdkritische incidentprocedures.</w:t>
      </w:r>
    </w:p>
    <w:p>
      <w:pPr>
        <w:pStyle w:val="Heading2"/>
      </w:pPr>
      <w:r>
        <w:t xml:space="preserve">Wtp-invaarbesluit</w:t>
      </w:r>
    </w:p>
    <w:p>
      <w:pPr>
        <w:spacing w:after="200"/>
      </w:pPr>
      <w:r>
        <w:rPr>
          <w:sz w:val="22"/>
          <w:szCs w:val="22"/>
        </w:rPr>
        <w:t xml:space="preserve">Het invaarbesluit is voor de meeste pensioenfondsen het zwaarste bestuurlijke traject van het decennium. Het bestaande pensioenvermogen wordt omgezet naar persoonlijke pensioenvermogens onder de Wet toekomst pensioenen, inclusief evenwichtigheidstoets, transitiecommunicatie en formele goedkeuring door DNB. De besluitvorming vraagt nauwe samenwerking met sociale partners en het verantwoordingsorgaan, en de stukken vormen een dossier dat jaren later nog reproduceerbaar moet zijn.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Wtp-transitiebesluit van sociale partners; uiterlijk 2028</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Eenmalig per fonds</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(gezamenlijk), met formele rol voorzitter en secretaris</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12-24 maanden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Wet toekomst pensioenen, DNB Wtp-handboek, Pensioenwet art. 150a-150d</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Voorbereidingsbesluit en projectopzet</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stelt een projectplan vast met scope, planning, betrokkenen en governance. Externe adviseurs (actuaris, jurist, communicatie) worden gecontracteerd.</w:t>
      </w:r>
    </w:p>
    <w:p>
      <w:pPr>
        <w:pStyle w:val="ListParagraph"/>
        <w:numPr>
          <w:ilvl w:val="0"/>
          <w:numId w:val="2"/>
        </w:numPr>
        <w:spacing w:after="40"/>
      </w:pPr>
      <w:r>
        <w:rPr>
          <w:color w:val="595959"/>
          <w:sz w:val="20"/>
          <w:szCs w:val="20"/>
        </w:rPr>
        <w:t xml:space="preserve">Projectplan met mijlpalen vastgesteld</w:t>
      </w:r>
    </w:p>
    <w:p>
      <w:pPr>
        <w:pStyle w:val="ListParagraph"/>
        <w:numPr>
          <w:ilvl w:val="0"/>
          <w:numId w:val="2"/>
        </w:numPr>
        <w:spacing w:after="40"/>
      </w:pPr>
      <w:r>
        <w:rPr>
          <w:color w:val="595959"/>
          <w:sz w:val="20"/>
          <w:szCs w:val="20"/>
        </w:rPr>
        <w:t xml:space="preserve">Stuurgroep + werkgroepen samengesteld</w:t>
      </w:r>
    </w:p>
    <w:p>
      <w:pPr>
        <w:pStyle w:val="ListParagraph"/>
        <w:numPr>
          <w:ilvl w:val="0"/>
          <w:numId w:val="2"/>
        </w:numPr>
        <w:spacing w:after="40"/>
      </w:pPr>
      <w:r>
        <w:rPr>
          <w:color w:val="595959"/>
          <w:sz w:val="20"/>
          <w:szCs w:val="20"/>
        </w:rPr>
        <w:t xml:space="preserve">Externe adviseurs aangesteld en contracten getekend</w:t>
      </w:r>
    </w:p>
    <w:p>
      <w:pPr>
        <w:pStyle w:val="ListParagraph"/>
        <w:numPr>
          <w:ilvl w:val="0"/>
          <w:numId w:val="2"/>
        </w:numPr>
        <w:spacing w:after="40"/>
      </w:pPr>
      <w:r>
        <w:rPr>
          <w:color w:val="595959"/>
          <w:sz w:val="20"/>
          <w:szCs w:val="20"/>
        </w:rPr>
        <w:t xml:space="preserve">Communicatieplan voor sociale partners en deelnemers</w:t>
      </w:r>
    </w:p>
    <w:p>
      <w:pPr>
        <w:spacing w:after="60" w:before="120"/>
      </w:pPr>
      <w:r>
        <w:rPr>
          <w:b/>
          <w:bCs/>
          <w:sz w:val="22"/>
          <w:szCs w:val="22"/>
        </w:rPr>
        <w:t xml:space="preserve">2. Inhoudelijke uitwerking transitiemethode</w:t>
      </w:r>
      <w:r>
        <w:rPr>
          <w:b/>
          <w:bCs/>
          <w:color w:val="0F2744"/>
          <w:sz w:val="18"/>
          <w:szCs w:val="18"/>
        </w:rPr>
        <w:t xml:space="preserve"> [bewijs vereist]</w:t>
      </w:r>
    </w:p>
    <w:p>
      <w:pPr>
        <w:spacing w:after="60"/>
        <w:ind w:left="360"/>
      </w:pPr>
      <w:r>
        <w:rPr>
          <w:sz w:val="21"/>
          <w:szCs w:val="21"/>
        </w:rPr>
        <w:t xml:space="preserve">Keuze tussen invaarmethoden (standaardmethode of VBA), uitwerking van de verdeling van het collectieve vermogen, vorming solidariteits- of risicodelingsreserve, en bepaling van compensatieregelingen.</w:t>
      </w:r>
    </w:p>
    <w:p>
      <w:pPr>
        <w:pStyle w:val="ListParagraph"/>
        <w:numPr>
          <w:ilvl w:val="0"/>
          <w:numId w:val="2"/>
        </w:numPr>
        <w:spacing w:after="40"/>
      </w:pPr>
      <w:r>
        <w:rPr>
          <w:color w:val="595959"/>
          <w:sz w:val="20"/>
          <w:szCs w:val="20"/>
        </w:rPr>
        <w:t xml:space="preserve">Actuariële berekeningen per cohort</w:t>
      </w:r>
    </w:p>
    <w:p>
      <w:pPr>
        <w:pStyle w:val="ListParagraph"/>
        <w:numPr>
          <w:ilvl w:val="0"/>
          <w:numId w:val="2"/>
        </w:numPr>
        <w:spacing w:after="40"/>
      </w:pPr>
      <w:r>
        <w:rPr>
          <w:color w:val="595959"/>
          <w:sz w:val="20"/>
          <w:szCs w:val="20"/>
        </w:rPr>
        <w:t xml:space="preserve">Vergelijkende analyse invaarvarianten</w:t>
      </w:r>
    </w:p>
    <w:p>
      <w:pPr>
        <w:pStyle w:val="ListParagraph"/>
        <w:numPr>
          <w:ilvl w:val="0"/>
          <w:numId w:val="2"/>
        </w:numPr>
        <w:spacing w:after="40"/>
      </w:pPr>
      <w:r>
        <w:rPr>
          <w:color w:val="595959"/>
          <w:sz w:val="20"/>
          <w:szCs w:val="20"/>
        </w:rPr>
        <w:t xml:space="preserve">Voorstel verdeelregels en reserve-vorming</w:t>
      </w:r>
    </w:p>
    <w:p>
      <w:pPr>
        <w:pStyle w:val="ListParagraph"/>
        <w:numPr>
          <w:ilvl w:val="0"/>
          <w:numId w:val="2"/>
        </w:numPr>
        <w:spacing w:after="40"/>
      </w:pPr>
      <w:r>
        <w:rPr>
          <w:color w:val="595959"/>
          <w:sz w:val="20"/>
          <w:szCs w:val="20"/>
        </w:rPr>
        <w:t xml:space="preserve">Impact-analyse per deelnemerscohort beschikbaar</w:t>
      </w:r>
    </w:p>
    <w:p>
      <w:pPr>
        <w:spacing w:after="60" w:before="120"/>
      </w:pPr>
      <w:r>
        <w:rPr>
          <w:b/>
          <w:bCs/>
          <w:sz w:val="22"/>
          <w:szCs w:val="22"/>
        </w:rPr>
        <w:t xml:space="preserve">3. Evenwichtigheidstoets</w:t>
      </w:r>
      <w:r>
        <w:rPr>
          <w:b/>
          <w:bCs/>
          <w:color w:val="0F2744"/>
          <w:sz w:val="18"/>
          <w:szCs w:val="18"/>
        </w:rPr>
        <w:t xml:space="preserve"> [bewijs vereist]</w:t>
      </w:r>
    </w:p>
    <w:p>
      <w:pPr>
        <w:spacing w:after="60"/>
        <w:ind w:left="360"/>
      </w:pPr>
      <w:r>
        <w:rPr>
          <w:sz w:val="21"/>
          <w:szCs w:val="21"/>
        </w:rPr>
        <w:t xml:space="preserve">Toets of de transitie evenwichtig uitpakt voor alle generaties en deelnemerscohorten. Deze toets is wettelijk verplicht en moet onafhankelijk worden uitgevoerd of gevalideerd.</w:t>
      </w:r>
    </w:p>
    <w:p>
      <w:pPr>
        <w:pStyle w:val="ListParagraph"/>
        <w:numPr>
          <w:ilvl w:val="0"/>
          <w:numId w:val="2"/>
        </w:numPr>
        <w:spacing w:after="40"/>
      </w:pPr>
      <w:r>
        <w:rPr>
          <w:color w:val="595959"/>
          <w:sz w:val="20"/>
          <w:szCs w:val="20"/>
        </w:rPr>
        <w:t xml:space="preserve">Evenwichtigheidstoets afgerond door externe partij</w:t>
      </w:r>
    </w:p>
    <w:p>
      <w:pPr>
        <w:pStyle w:val="ListParagraph"/>
        <w:numPr>
          <w:ilvl w:val="0"/>
          <w:numId w:val="2"/>
        </w:numPr>
        <w:spacing w:after="40"/>
      </w:pPr>
      <w:r>
        <w:rPr>
          <w:color w:val="595959"/>
          <w:sz w:val="20"/>
          <w:szCs w:val="20"/>
        </w:rPr>
        <w:t xml:space="preserve">Verantwoordingsorgaan geconsulteerd</w:t>
      </w:r>
    </w:p>
    <w:p>
      <w:pPr>
        <w:pStyle w:val="ListParagraph"/>
        <w:numPr>
          <w:ilvl w:val="0"/>
          <w:numId w:val="2"/>
        </w:numPr>
        <w:spacing w:after="40"/>
      </w:pPr>
      <w:r>
        <w:rPr>
          <w:color w:val="595959"/>
          <w:sz w:val="20"/>
          <w:szCs w:val="20"/>
        </w:rPr>
        <w:t xml:space="preserve">Reactie verantwoordingsorgaan verwerkt of beargumenteerd weersproken</w:t>
      </w:r>
    </w:p>
    <w:p>
      <w:pPr>
        <w:spacing w:after="60" w:before="120"/>
      </w:pPr>
      <w:r>
        <w:rPr>
          <w:b/>
          <w:bCs/>
          <w:sz w:val="22"/>
          <w:szCs w:val="22"/>
        </w:rPr>
        <w:t xml:space="preserve">4. Voorgenomen besluit en hoorrecht</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Het bestuur formuleert het voorgenomen invaarbesluit en stelt verantwoordingsorgaan, gewezen deelnemers en gepensioneerden in de gelegenheid zich uit te spreken (hoorrecht).</w:t>
      </w:r>
    </w:p>
    <w:p>
      <w:pPr>
        <w:pStyle w:val="ListParagraph"/>
        <w:numPr>
          <w:ilvl w:val="0"/>
          <w:numId w:val="2"/>
        </w:numPr>
        <w:spacing w:after="40"/>
      </w:pPr>
      <w:r>
        <w:rPr>
          <w:color w:val="595959"/>
          <w:sz w:val="20"/>
          <w:szCs w:val="20"/>
        </w:rPr>
        <w:t xml:space="preserve">Voorgenomen besluit geformaliseerd in dossier</w:t>
      </w:r>
    </w:p>
    <w:p>
      <w:pPr>
        <w:pStyle w:val="ListParagraph"/>
        <w:numPr>
          <w:ilvl w:val="0"/>
          <w:numId w:val="2"/>
        </w:numPr>
        <w:spacing w:after="40"/>
      </w:pPr>
      <w:r>
        <w:rPr>
          <w:color w:val="595959"/>
          <w:sz w:val="20"/>
          <w:szCs w:val="20"/>
        </w:rPr>
        <w:t xml:space="preserve">Hoorzittingen of schriftelijke consultatie gepland</w:t>
      </w:r>
    </w:p>
    <w:p>
      <w:pPr>
        <w:pStyle w:val="ListParagraph"/>
        <w:numPr>
          <w:ilvl w:val="0"/>
          <w:numId w:val="2"/>
        </w:numPr>
        <w:spacing w:after="40"/>
      </w:pPr>
      <w:r>
        <w:rPr>
          <w:color w:val="595959"/>
          <w:sz w:val="20"/>
          <w:szCs w:val="20"/>
        </w:rPr>
        <w:t xml:space="preserve">Reacties verzameld en gewogen</w:t>
      </w:r>
    </w:p>
    <w:p>
      <w:pPr>
        <w:spacing w:after="60" w:before="120"/>
      </w:pPr>
      <w:r>
        <w:rPr>
          <w:b/>
          <w:bCs/>
          <w:sz w:val="22"/>
          <w:szCs w:val="22"/>
        </w:rPr>
        <w:t xml:space="preserve">5. Definitief invaarbesluit</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neemt het definitieve invaarbesluit met alle onderbouwing. Vastlegging in notulen en in een formeel besluitdocument.</w:t>
      </w:r>
    </w:p>
    <w:p>
      <w:pPr>
        <w:pStyle w:val="ListParagraph"/>
        <w:numPr>
          <w:ilvl w:val="0"/>
          <w:numId w:val="2"/>
        </w:numPr>
        <w:spacing w:after="40"/>
      </w:pPr>
      <w:r>
        <w:rPr>
          <w:color w:val="595959"/>
          <w:sz w:val="20"/>
          <w:szCs w:val="20"/>
        </w:rPr>
        <w:t xml:space="preserve">Definitief besluitdocument met motivering</w:t>
      </w:r>
    </w:p>
    <w:p>
      <w:pPr>
        <w:pStyle w:val="ListParagraph"/>
        <w:numPr>
          <w:ilvl w:val="0"/>
          <w:numId w:val="2"/>
        </w:numPr>
        <w:spacing w:after="40"/>
      </w:pPr>
      <w:r>
        <w:rPr>
          <w:color w:val="595959"/>
          <w:sz w:val="20"/>
          <w:szCs w:val="20"/>
        </w:rPr>
        <w:t xml:space="preserve">Toelichting per gewogen tegenwerping</w:t>
      </w:r>
    </w:p>
    <w:p>
      <w:pPr>
        <w:pStyle w:val="ListParagraph"/>
        <w:numPr>
          <w:ilvl w:val="0"/>
          <w:numId w:val="2"/>
        </w:numPr>
        <w:spacing w:after="40"/>
      </w:pPr>
      <w:r>
        <w:rPr>
          <w:color w:val="595959"/>
          <w:sz w:val="20"/>
          <w:szCs w:val="20"/>
        </w:rPr>
        <w:t xml:space="preserve">Notulen van besluitvergadering</w:t>
      </w:r>
    </w:p>
    <w:p>
      <w:pPr>
        <w:spacing w:after="60" w:before="120"/>
      </w:pPr>
      <w:r>
        <w:rPr>
          <w:b/>
          <w:bCs/>
          <w:sz w:val="22"/>
          <w:szCs w:val="22"/>
        </w:rPr>
        <w:t xml:space="preserve">6. DNB-melding en goedkeuring</w:t>
      </w:r>
      <w:r>
        <w:rPr>
          <w:b/>
          <w:bCs/>
          <w:color w:val="0F2744"/>
          <w:sz w:val="18"/>
          <w:szCs w:val="18"/>
        </w:rPr>
        <w:t xml:space="preserve"> [bewijs vereist]</w:t>
      </w:r>
    </w:p>
    <w:p>
      <w:pPr>
        <w:spacing w:after="60"/>
        <w:ind w:left="360"/>
      </w:pPr>
      <w:r>
        <w:rPr>
          <w:sz w:val="21"/>
          <w:szCs w:val="21"/>
        </w:rPr>
        <w:t xml:space="preserve">Indiening van het volledige dossier bij DNB, inclusief actuariële onderbouwing, evenwichtigheidstoets en evidence van het hoorproces. DNB toetst en geeft formele goedkeuring of verzoekt om aanvullende informatie.</w:t>
      </w:r>
    </w:p>
    <w:p>
      <w:pPr>
        <w:pStyle w:val="ListParagraph"/>
        <w:numPr>
          <w:ilvl w:val="0"/>
          <w:numId w:val="2"/>
        </w:numPr>
        <w:spacing w:after="40"/>
      </w:pPr>
      <w:r>
        <w:rPr>
          <w:color w:val="595959"/>
          <w:sz w:val="20"/>
          <w:szCs w:val="20"/>
        </w:rPr>
        <w:t xml:space="preserve">DNB-dossier compleet en ingediend</w:t>
      </w:r>
    </w:p>
    <w:p>
      <w:pPr>
        <w:pStyle w:val="ListParagraph"/>
        <w:numPr>
          <w:ilvl w:val="0"/>
          <w:numId w:val="2"/>
        </w:numPr>
        <w:spacing w:after="40"/>
      </w:pPr>
      <w:r>
        <w:rPr>
          <w:color w:val="595959"/>
          <w:sz w:val="20"/>
          <w:szCs w:val="20"/>
        </w:rPr>
        <w:t xml:space="preserve">Eventuele DNB-vragen beantwoord</w:t>
      </w:r>
    </w:p>
    <w:p>
      <w:pPr>
        <w:pStyle w:val="ListParagraph"/>
        <w:numPr>
          <w:ilvl w:val="0"/>
          <w:numId w:val="2"/>
        </w:numPr>
        <w:spacing w:after="40"/>
      </w:pPr>
      <w:r>
        <w:rPr>
          <w:color w:val="595959"/>
          <w:sz w:val="20"/>
          <w:szCs w:val="20"/>
        </w:rPr>
        <w:t xml:space="preserve">Goedkeuringsbrief DNB ontvangen</w:t>
      </w:r>
    </w:p>
    <w:p>
      <w:pPr>
        <w:spacing w:after="60" w:before="120"/>
      </w:pPr>
      <w:r>
        <w:rPr>
          <w:b/>
          <w:bCs/>
          <w:sz w:val="22"/>
          <w:szCs w:val="22"/>
        </w:rPr>
        <w:t xml:space="preserve">7. Implementatie en deelnemerscommunicatie</w:t>
      </w:r>
      <w:r>
        <w:rPr>
          <w:b/>
          <w:bCs/>
          <w:color w:val="0F2744"/>
          <w:sz w:val="18"/>
          <w:szCs w:val="18"/>
        </w:rPr>
        <w:t xml:space="preserve"> [bewijs vereist]</w:t>
      </w:r>
    </w:p>
    <w:p>
      <w:pPr>
        <w:spacing w:after="60"/>
        <w:ind w:left="360"/>
      </w:pPr>
      <w:r>
        <w:rPr>
          <w:sz w:val="21"/>
          <w:szCs w:val="21"/>
        </w:rPr>
        <w:t xml:space="preserve">Operationele uitvoering van de transitie via de pensioenuitvoerder. Persoonlijke communicatie naar elke deelnemer met de individuele impact, mogelijkheid tot bezwaar of vragen, en een transparante helpdesk.</w:t>
      </w:r>
    </w:p>
    <w:p>
      <w:pPr>
        <w:pStyle w:val="ListParagraph"/>
        <w:numPr>
          <w:ilvl w:val="0"/>
          <w:numId w:val="2"/>
        </w:numPr>
        <w:spacing w:after="40"/>
      </w:pPr>
      <w:r>
        <w:rPr>
          <w:color w:val="595959"/>
          <w:sz w:val="20"/>
          <w:szCs w:val="20"/>
        </w:rPr>
        <w:t xml:space="preserve">Persoonlijke transitiebrieven verzonden</w:t>
      </w:r>
    </w:p>
    <w:p>
      <w:pPr>
        <w:pStyle w:val="ListParagraph"/>
        <w:numPr>
          <w:ilvl w:val="0"/>
          <w:numId w:val="2"/>
        </w:numPr>
        <w:spacing w:after="40"/>
      </w:pPr>
      <w:r>
        <w:rPr>
          <w:color w:val="595959"/>
          <w:sz w:val="20"/>
          <w:szCs w:val="20"/>
        </w:rPr>
        <w:t xml:space="preserve">Helpdesk operationeel met FAQ</w:t>
      </w:r>
    </w:p>
    <w:p>
      <w:pPr>
        <w:pStyle w:val="ListParagraph"/>
        <w:numPr>
          <w:ilvl w:val="0"/>
          <w:numId w:val="2"/>
        </w:numPr>
        <w:spacing w:after="40"/>
      </w:pPr>
      <w:r>
        <w:rPr>
          <w:color w:val="595959"/>
          <w:sz w:val="20"/>
          <w:szCs w:val="20"/>
        </w:rPr>
        <w:t xml:space="preserve">Klachten- en bezwaarprocedure ingericht</w:t>
      </w:r>
    </w:p>
    <w:p>
      <w:pPr>
        <w:pStyle w:val="ListParagraph"/>
        <w:numPr>
          <w:ilvl w:val="0"/>
          <w:numId w:val="2"/>
        </w:numPr>
        <w:spacing w:after="40"/>
      </w:pPr>
      <w:r>
        <w:rPr>
          <w:color w:val="595959"/>
          <w:sz w:val="20"/>
          <w:szCs w:val="20"/>
        </w:rPr>
        <w:t xml:space="preserve">Eindrapport implementatie aan bestuur</w:t>
      </w:r>
    </w:p>
    <w:p>
      <w:pPr>
        <w:spacing w:after="100" w:before="240"/>
      </w:pPr>
      <w:r>
        <w:rPr>
          <w:b/>
          <w:bCs/>
          <w:color w:val="0F2744"/>
          <w:sz w:val="24"/>
          <w:szCs w:val="24"/>
        </w:rPr>
        <w:t xml:space="preserve">Aandachtspunten en typische valkuilen</w:t>
      </w:r>
    </w:p>
    <w:p>
      <w:pPr>
        <w:spacing w:after="320"/>
      </w:pPr>
      <w:r>
        <w:rPr>
          <w:i/>
          <w:iCs/>
          <w:sz w:val="22"/>
          <w:szCs w:val="22"/>
        </w:rPr>
        <w:t xml:space="preserve">De grootste valkuil is onvoldoende dossiervorming bij elke beslissing. DNB toetst niet alleen het eindresultaat maar ook het proces — incomplete onderbouwing leidt tot terugverwijzing en vertraging. Houd vanaf dag één een audit-trail bij van elke vergadering, elke variantanalyse en elke afweging. Onderschat ook de communicatielast richting deelnemers niet: vragen lopen op tot tienduizenden bij grote fondsen.</w:t>
      </w:r>
    </w:p>
    <w:p>
      <w:pPr>
        <w:pStyle w:val="Heading2"/>
      </w:pPr>
      <w:r>
        <w:t xml:space="preserve">ABTN-actualisatie</w:t>
      </w:r>
    </w:p>
    <w:p>
      <w:pPr>
        <w:spacing w:after="200"/>
      </w:pPr>
      <w:r>
        <w:rPr>
          <w:sz w:val="22"/>
          <w:szCs w:val="22"/>
        </w:rPr>
        <w:t xml:space="preserve">De Actuariële en Bedrijfstechnische Nota is het kerndocument waarin het pensioenfonds zijn technische voorzieningen, beleggingsbeleid, premiebeleid en risicobeheer beschrijft. Bij elke materiële beleidswijziging moet de ABTN worden geactualiseerd, en daarnaast minstens periodiek herijkt. De ABTN is een DNB-toetsingsdocument en bron voor extern toezicht.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Materiële beleidswijziging of periodieke herziening (gewoonlijk jaarlijks gewogen)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 aanleiding én ten minste eens per drie jaar volledig</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met inhoudelijke voorbereiding door risk- of beleggingscommissie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6-12 weken bij volledige herziening, 2-4 weken bij deelwijziging</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Pensioenwet art. 145, Besluit financieel toetsingskader pensioenfondsen</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Vaststellen reikwijdte van de actualisatie</w:t>
      </w:r>
      <w:r>
        <w:rPr>
          <w:b/>
          <w:bCs/>
          <w:color w:val="C9A84C"/>
          <w:sz w:val="18"/>
          <w:szCs w:val="18"/>
        </w:rPr>
        <w:t xml:space="preserve"> [besluit vereist]</w:t>
      </w:r>
    </w:p>
    <w:p>
      <w:pPr>
        <w:spacing w:after="60"/>
        <w:ind w:left="360"/>
      </w:pPr>
      <w:r>
        <w:rPr>
          <w:sz w:val="21"/>
          <w:szCs w:val="21"/>
        </w:rPr>
        <w:t xml:space="preserve">Bepaal of het een volledige herziening of een gerichte aanpassing betreft. Lijst van te wijzigen hoofdstukken en aanleiding per hoofdstuk.</w:t>
      </w:r>
    </w:p>
    <w:p>
      <w:pPr>
        <w:pStyle w:val="ListParagraph"/>
        <w:numPr>
          <w:ilvl w:val="0"/>
          <w:numId w:val="2"/>
        </w:numPr>
        <w:spacing w:after="40"/>
      </w:pPr>
      <w:r>
        <w:rPr>
          <w:color w:val="595959"/>
          <w:sz w:val="20"/>
          <w:szCs w:val="20"/>
        </w:rPr>
        <w:t xml:space="preserve">Overzicht van te wijzigen onderdelen</w:t>
      </w:r>
    </w:p>
    <w:p>
      <w:pPr>
        <w:pStyle w:val="ListParagraph"/>
        <w:numPr>
          <w:ilvl w:val="0"/>
          <w:numId w:val="2"/>
        </w:numPr>
        <w:spacing w:after="40"/>
      </w:pPr>
      <w:r>
        <w:rPr>
          <w:color w:val="595959"/>
          <w:sz w:val="20"/>
          <w:szCs w:val="20"/>
        </w:rPr>
        <w:t xml:space="preserve">Onderbouwing per wijziging</w:t>
      </w:r>
    </w:p>
    <w:p>
      <w:pPr>
        <w:spacing w:after="60" w:before="120"/>
      </w:pPr>
      <w:r>
        <w:rPr>
          <w:b/>
          <w:bCs/>
          <w:sz w:val="22"/>
          <w:szCs w:val="22"/>
        </w:rPr>
        <w:t xml:space="preserve">2. Inhoudelijke voorbereiding door commissies</w:t>
      </w:r>
      <w:r>
        <w:rPr>
          <w:b/>
          <w:bCs/>
          <w:color w:val="0F2744"/>
          <w:sz w:val="18"/>
          <w:szCs w:val="18"/>
        </w:rPr>
        <w:t xml:space="preserve"> [bewijs vereist]</w:t>
      </w:r>
    </w:p>
    <w:p>
      <w:pPr>
        <w:spacing w:after="60"/>
        <w:ind w:left="360"/>
      </w:pPr>
      <w:r>
        <w:rPr>
          <w:sz w:val="21"/>
          <w:szCs w:val="21"/>
        </w:rPr>
        <w:t xml:space="preserve">De relevante commissies (beleggings-, risk-, audit-) leveren conceptteksten aan voor hun domeinen, inclusief actuariële onderbouwing.</w:t>
      </w:r>
    </w:p>
    <w:p>
      <w:pPr>
        <w:pStyle w:val="ListParagraph"/>
        <w:numPr>
          <w:ilvl w:val="0"/>
          <w:numId w:val="2"/>
        </w:numPr>
        <w:spacing w:after="40"/>
      </w:pPr>
      <w:r>
        <w:rPr>
          <w:color w:val="595959"/>
          <w:sz w:val="20"/>
          <w:szCs w:val="20"/>
        </w:rPr>
        <w:t xml:space="preserve">Conceptteksten per domein</w:t>
      </w:r>
    </w:p>
    <w:p>
      <w:pPr>
        <w:pStyle w:val="ListParagraph"/>
        <w:numPr>
          <w:ilvl w:val="0"/>
          <w:numId w:val="2"/>
        </w:numPr>
        <w:spacing w:after="40"/>
      </w:pPr>
      <w:r>
        <w:rPr>
          <w:color w:val="595959"/>
          <w:sz w:val="20"/>
          <w:szCs w:val="20"/>
        </w:rPr>
        <w:t xml:space="preserve">Actuariële onderbouwing waar relevant</w:t>
      </w:r>
    </w:p>
    <w:p>
      <w:pPr>
        <w:pStyle w:val="ListParagraph"/>
        <w:numPr>
          <w:ilvl w:val="0"/>
          <w:numId w:val="2"/>
        </w:numPr>
        <w:spacing w:after="40"/>
      </w:pPr>
      <w:r>
        <w:rPr>
          <w:color w:val="595959"/>
          <w:sz w:val="20"/>
          <w:szCs w:val="20"/>
        </w:rPr>
        <w:t xml:space="preserve">Consistentiecheck tussen hoofdstukken</w:t>
      </w:r>
    </w:p>
    <w:p>
      <w:pPr>
        <w:spacing w:after="60" w:before="120"/>
      </w:pPr>
      <w:r>
        <w:rPr>
          <w:b/>
          <w:bCs/>
          <w:sz w:val="22"/>
          <w:szCs w:val="22"/>
        </w:rPr>
        <w:t xml:space="preserve">3. Bestuursbespreking en consultatie verantwoordingsorgaan</w:t>
      </w:r>
      <w:r>
        <w:rPr>
          <w:b/>
          <w:bCs/>
          <w:color w:val="0F2744"/>
          <w:sz w:val="18"/>
          <w:szCs w:val="18"/>
        </w:rPr>
        <w:t xml:space="preserve"> [bewijs vereist]</w:t>
      </w:r>
    </w:p>
    <w:p>
      <w:pPr>
        <w:spacing w:after="60"/>
        <w:ind w:left="360"/>
      </w:pPr>
      <w:r>
        <w:rPr>
          <w:sz w:val="21"/>
          <w:szCs w:val="21"/>
        </w:rPr>
        <w:t xml:space="preserve">Bestuur bespreekt het concept en consulteert het verantwoordingsorgaan over materiële wijzigingen.</w:t>
      </w:r>
    </w:p>
    <w:p>
      <w:pPr>
        <w:pStyle w:val="ListParagraph"/>
        <w:numPr>
          <w:ilvl w:val="0"/>
          <w:numId w:val="2"/>
        </w:numPr>
        <w:spacing w:after="40"/>
      </w:pPr>
      <w:r>
        <w:rPr>
          <w:color w:val="595959"/>
          <w:sz w:val="20"/>
          <w:szCs w:val="20"/>
        </w:rPr>
        <w:t xml:space="preserve">Concept-ABTN besproken in vergadering</w:t>
      </w:r>
    </w:p>
    <w:p>
      <w:pPr>
        <w:pStyle w:val="ListParagraph"/>
        <w:numPr>
          <w:ilvl w:val="0"/>
          <w:numId w:val="2"/>
        </w:numPr>
        <w:spacing w:after="40"/>
      </w:pPr>
      <w:r>
        <w:rPr>
          <w:color w:val="595959"/>
          <w:sz w:val="20"/>
          <w:szCs w:val="20"/>
        </w:rPr>
        <w:t xml:space="preserve">Verantwoordingsorgaan geconsulteerd</w:t>
      </w:r>
    </w:p>
    <w:p>
      <w:pPr>
        <w:pStyle w:val="ListParagraph"/>
        <w:numPr>
          <w:ilvl w:val="0"/>
          <w:numId w:val="2"/>
        </w:numPr>
        <w:spacing w:after="40"/>
      </w:pPr>
      <w:r>
        <w:rPr>
          <w:color w:val="595959"/>
          <w:sz w:val="20"/>
          <w:szCs w:val="20"/>
        </w:rPr>
        <w:t xml:space="preserve">Reacties verwerkt of toegelicht</w:t>
      </w:r>
    </w:p>
    <w:p>
      <w:pPr>
        <w:spacing w:after="60" w:before="120"/>
      </w:pPr>
      <w:r>
        <w:rPr>
          <w:b/>
          <w:bCs/>
          <w:sz w:val="22"/>
          <w:szCs w:val="22"/>
        </w:rPr>
        <w:t xml:space="preserve">4. Vaststelling door bestuur</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Formele vaststelling van de geactualiseerde ABTN met motivering van wijzigingen.</w:t>
      </w:r>
    </w:p>
    <w:p>
      <w:pPr>
        <w:pStyle w:val="ListParagraph"/>
        <w:numPr>
          <w:ilvl w:val="0"/>
          <w:numId w:val="2"/>
        </w:numPr>
        <w:spacing w:after="40"/>
      </w:pPr>
      <w:r>
        <w:rPr>
          <w:color w:val="595959"/>
          <w:sz w:val="20"/>
          <w:szCs w:val="20"/>
        </w:rPr>
        <w:t xml:space="preserve">Definitieve tekst goedgekeurd</w:t>
      </w:r>
    </w:p>
    <w:p>
      <w:pPr>
        <w:pStyle w:val="ListParagraph"/>
        <w:numPr>
          <w:ilvl w:val="0"/>
          <w:numId w:val="2"/>
        </w:numPr>
        <w:spacing w:after="40"/>
      </w:pPr>
      <w:r>
        <w:rPr>
          <w:color w:val="595959"/>
          <w:sz w:val="20"/>
          <w:szCs w:val="20"/>
        </w:rPr>
        <w:t xml:space="preserve">Wijzigingsoverzicht (changelog) toegevoegd</w:t>
      </w:r>
    </w:p>
    <w:p>
      <w:pPr>
        <w:spacing w:after="60" w:before="120"/>
      </w:pPr>
      <w:r>
        <w:rPr>
          <w:b/>
          <w:bCs/>
          <w:sz w:val="22"/>
          <w:szCs w:val="22"/>
        </w:rPr>
        <w:t xml:space="preserve">5. DNB-melding en publicatie</w:t>
      </w:r>
      <w:r>
        <w:rPr>
          <w:b/>
          <w:bCs/>
          <w:color w:val="0F2744"/>
          <w:sz w:val="18"/>
          <w:szCs w:val="18"/>
        </w:rPr>
        <w:t xml:space="preserve"> [bewijs vereist]</w:t>
      </w:r>
    </w:p>
    <w:p>
      <w:pPr>
        <w:spacing w:after="60"/>
        <w:ind w:left="360"/>
      </w:pPr>
      <w:r>
        <w:rPr>
          <w:sz w:val="21"/>
          <w:szCs w:val="21"/>
        </w:rPr>
        <w:t xml:space="preserve">Aanbieding aan DNB en opname in het bestuursdossier. Bij significante wijzigingen vaak inhoudelijke terugkoppeling met DNB.</w:t>
      </w:r>
    </w:p>
    <w:p>
      <w:pPr>
        <w:pStyle w:val="ListParagraph"/>
        <w:numPr>
          <w:ilvl w:val="0"/>
          <w:numId w:val="2"/>
        </w:numPr>
        <w:spacing w:after="40"/>
      </w:pPr>
      <w:r>
        <w:rPr>
          <w:color w:val="595959"/>
          <w:sz w:val="20"/>
          <w:szCs w:val="20"/>
        </w:rPr>
        <w:t xml:space="preserve">ABTN gemeld bij DNB</w:t>
      </w:r>
    </w:p>
    <w:p>
      <w:pPr>
        <w:pStyle w:val="ListParagraph"/>
        <w:numPr>
          <w:ilvl w:val="0"/>
          <w:numId w:val="2"/>
        </w:numPr>
        <w:spacing w:after="40"/>
      </w:pPr>
      <w:r>
        <w:rPr>
          <w:color w:val="595959"/>
          <w:sz w:val="20"/>
          <w:szCs w:val="20"/>
        </w:rPr>
        <w:t xml:space="preserve">Eventuele vragen beantwoord</w:t>
      </w:r>
    </w:p>
    <w:p>
      <w:pPr>
        <w:pStyle w:val="ListParagraph"/>
        <w:numPr>
          <w:ilvl w:val="0"/>
          <w:numId w:val="2"/>
        </w:numPr>
        <w:spacing w:after="40"/>
      </w:pPr>
      <w:r>
        <w:rPr>
          <w:color w:val="595959"/>
          <w:sz w:val="20"/>
          <w:szCs w:val="20"/>
        </w:rPr>
        <w:t xml:space="preserve">Definitieve versie gearchiveerd</w:t>
      </w:r>
    </w:p>
    <w:p>
      <w:pPr>
        <w:spacing w:after="100" w:before="240"/>
      </w:pPr>
      <w:r>
        <w:rPr>
          <w:b/>
          <w:bCs/>
          <w:color w:val="0F2744"/>
          <w:sz w:val="24"/>
          <w:szCs w:val="24"/>
        </w:rPr>
        <w:t xml:space="preserve">Aandachtspunten en typische valkuilen</w:t>
      </w:r>
    </w:p>
    <w:p>
      <w:pPr>
        <w:spacing w:after="320"/>
      </w:pPr>
      <w:r>
        <w:rPr>
          <w:i/>
          <w:iCs/>
          <w:sz w:val="22"/>
          <w:szCs w:val="22"/>
        </w:rPr>
        <w:t xml:space="preserve">Een veelvoorkomende valkuil is dat de ABTN intern verouderd raakt doordat operationele wijzigingen niet doorvloeien. Houd een lopende changelog bij waarin elke materiële wijziging direct landt — dat voorkomt dat een driejaarlijkse herziening verandert in een archeologische exercitie.</w:t>
      </w:r>
    </w:p>
    <w:p>
      <w:pPr>
        <w:pStyle w:val="Heading2"/>
      </w:pPr>
      <w:r>
        <w:t xml:space="preserve">Beleidswijziging beleggingsbeleid</w:t>
      </w:r>
    </w:p>
    <w:p>
      <w:pPr>
        <w:spacing w:after="200"/>
      </w:pPr>
      <w:r>
        <w:rPr>
          <w:sz w:val="22"/>
          <w:szCs w:val="22"/>
        </w:rPr>
        <w:t xml:space="preserve">Wijzigingen in de strategische assetallocatie, het ESG-beleid, het hedge-beleid of materiële mandaatwijzigingen vereisen formele bestuurlijke besluitvorming met onderbouwing en evenwichtigheidstoets. Dit type besluit raakt de financiële uitkomst voor alle deelnemers en is een DNB-meldenswaardig moment.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Voorstel beleggingscommissie of externe adviseur; uitkomst ALM-studie; markt- of regulatieve aanleiding</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Variabel, gemiddeld 1-3 keer per jaar</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op voorstel van beleggingscommissie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8-16 weken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Pensioenwet art. 135, Besluit ftk, IORP II prudent person principle, SFDR voor ESG-aspecten</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Voorstel en onderbouwing beleggingscommissie</w:t>
      </w:r>
      <w:r>
        <w:rPr>
          <w:b/>
          <w:bCs/>
          <w:color w:val="0F2744"/>
          <w:sz w:val="18"/>
          <w:szCs w:val="18"/>
        </w:rPr>
        <w:t xml:space="preserve"> [bewijs vereist]</w:t>
      </w:r>
    </w:p>
    <w:p>
      <w:pPr>
        <w:spacing w:after="60"/>
        <w:ind w:left="360"/>
      </w:pPr>
      <w:r>
        <w:rPr>
          <w:sz w:val="21"/>
          <w:szCs w:val="21"/>
        </w:rPr>
        <w:t xml:space="preserve">Beleggingscommissie stelt voorstel op met onderbouwing — markt-rationale, ALM-impact, kosteneffect en risicoprofiel-verandering.</w:t>
      </w:r>
    </w:p>
    <w:p>
      <w:pPr>
        <w:pStyle w:val="ListParagraph"/>
        <w:numPr>
          <w:ilvl w:val="0"/>
          <w:numId w:val="2"/>
        </w:numPr>
        <w:spacing w:after="40"/>
      </w:pPr>
      <w:r>
        <w:rPr>
          <w:color w:val="595959"/>
          <w:sz w:val="20"/>
          <w:szCs w:val="20"/>
        </w:rPr>
        <w:t xml:space="preserve">Voorstel met scenario-analyse</w:t>
      </w:r>
    </w:p>
    <w:p>
      <w:pPr>
        <w:pStyle w:val="ListParagraph"/>
        <w:numPr>
          <w:ilvl w:val="0"/>
          <w:numId w:val="2"/>
        </w:numPr>
        <w:spacing w:after="40"/>
      </w:pPr>
      <w:r>
        <w:rPr>
          <w:color w:val="595959"/>
          <w:sz w:val="20"/>
          <w:szCs w:val="20"/>
        </w:rPr>
        <w:t xml:space="preserve">Impact op risicobudget</w:t>
      </w:r>
    </w:p>
    <w:p>
      <w:pPr>
        <w:pStyle w:val="ListParagraph"/>
        <w:numPr>
          <w:ilvl w:val="0"/>
          <w:numId w:val="2"/>
        </w:numPr>
        <w:spacing w:after="40"/>
      </w:pPr>
      <w:r>
        <w:rPr>
          <w:color w:val="595959"/>
          <w:sz w:val="20"/>
          <w:szCs w:val="20"/>
        </w:rPr>
        <w:t xml:space="preserve">Kosten-onderbouwing</w:t>
      </w:r>
    </w:p>
    <w:p>
      <w:pPr>
        <w:spacing w:after="60" w:before="120"/>
      </w:pPr>
      <w:r>
        <w:rPr>
          <w:b/>
          <w:bCs/>
          <w:sz w:val="22"/>
          <w:szCs w:val="22"/>
        </w:rPr>
        <w:t xml:space="preserve">2. Risk-second-line-toets</w:t>
      </w:r>
      <w:r>
        <w:rPr>
          <w:b/>
          <w:bCs/>
          <w:color w:val="0F2744"/>
          <w:sz w:val="18"/>
          <w:szCs w:val="18"/>
        </w:rPr>
        <w:t xml:space="preserve"> [bewijs vereist]</w:t>
      </w:r>
    </w:p>
    <w:p>
      <w:pPr>
        <w:spacing w:after="60"/>
        <w:ind w:left="360"/>
      </w:pPr>
      <w:r>
        <w:rPr>
          <w:sz w:val="21"/>
          <w:szCs w:val="21"/>
        </w:rPr>
        <w:t xml:space="preserve">Risk-functie beoordeelt onafhankelijk de risico-implicaties en de aansluiting op het risicokader.</w:t>
      </w:r>
    </w:p>
    <w:p>
      <w:pPr>
        <w:pStyle w:val="ListParagraph"/>
        <w:numPr>
          <w:ilvl w:val="0"/>
          <w:numId w:val="2"/>
        </w:numPr>
        <w:spacing w:after="40"/>
      </w:pPr>
      <w:r>
        <w:rPr>
          <w:color w:val="595959"/>
          <w:sz w:val="20"/>
          <w:szCs w:val="20"/>
        </w:rPr>
        <w:t xml:space="preserve">Onafhankelijk risk-advies opgeleverd</w:t>
      </w:r>
    </w:p>
    <w:p>
      <w:pPr>
        <w:pStyle w:val="ListParagraph"/>
        <w:numPr>
          <w:ilvl w:val="0"/>
          <w:numId w:val="2"/>
        </w:numPr>
        <w:spacing w:after="40"/>
      </w:pPr>
      <w:r>
        <w:rPr>
          <w:color w:val="595959"/>
          <w:sz w:val="20"/>
          <w:szCs w:val="20"/>
        </w:rPr>
        <w:t xml:space="preserve">Aansluiting bij risicobereidheid getoetst</w:t>
      </w:r>
    </w:p>
    <w:p>
      <w:pPr>
        <w:spacing w:after="60" w:before="120"/>
      </w:pPr>
      <w:r>
        <w:rPr>
          <w:b/>
          <w:bCs/>
          <w:sz w:val="22"/>
          <w:szCs w:val="22"/>
        </w:rPr>
        <w:t xml:space="preserve">3. Evenwichtigheidstoets bij materiële wijzigingen</w:t>
      </w:r>
      <w:r>
        <w:rPr>
          <w:b/>
          <w:bCs/>
          <w:color w:val="0F2744"/>
          <w:sz w:val="18"/>
          <w:szCs w:val="18"/>
        </w:rPr>
        <w:t xml:space="preserve"> [bewijs vereist]</w:t>
      </w:r>
    </w:p>
    <w:p>
      <w:pPr>
        <w:spacing w:after="60"/>
        <w:ind w:left="360"/>
      </w:pPr>
      <w:r>
        <w:rPr>
          <w:sz w:val="21"/>
          <w:szCs w:val="21"/>
        </w:rPr>
        <w:t xml:space="preserve">Bij wijzigingen die cohorten verschillend raken, wordt een evenwichtigheidsanalyse uitgevoerd.</w:t>
      </w:r>
    </w:p>
    <w:p>
      <w:pPr>
        <w:pStyle w:val="ListParagraph"/>
        <w:numPr>
          <w:ilvl w:val="0"/>
          <w:numId w:val="2"/>
        </w:numPr>
        <w:spacing w:after="40"/>
      </w:pPr>
      <w:r>
        <w:rPr>
          <w:color w:val="595959"/>
          <w:sz w:val="20"/>
          <w:szCs w:val="20"/>
        </w:rPr>
        <w:t xml:space="preserve">Cohort-impact-analyse</w:t>
      </w:r>
    </w:p>
    <w:p>
      <w:pPr>
        <w:pStyle w:val="ListParagraph"/>
        <w:numPr>
          <w:ilvl w:val="0"/>
          <w:numId w:val="2"/>
        </w:numPr>
        <w:spacing w:after="40"/>
      </w:pPr>
      <w:r>
        <w:rPr>
          <w:color w:val="595959"/>
          <w:sz w:val="20"/>
          <w:szCs w:val="20"/>
        </w:rPr>
        <w:t xml:space="preserve">Conclusie evenwichtigheid gedocumenteerd</w:t>
      </w:r>
    </w:p>
    <w:p>
      <w:pPr>
        <w:spacing w:after="60" w:before="120"/>
      </w:pPr>
      <w:r>
        <w:rPr>
          <w:b/>
          <w:bCs/>
          <w:sz w:val="22"/>
          <w:szCs w:val="22"/>
        </w:rPr>
        <w:t xml:space="preserve">4. Bestuursbespreking en besluit</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bespreekt het voorstel inclusief tegenwerpingen, en neemt het formele besluit met motivering.</w:t>
      </w:r>
    </w:p>
    <w:p>
      <w:pPr>
        <w:pStyle w:val="ListParagraph"/>
        <w:numPr>
          <w:ilvl w:val="0"/>
          <w:numId w:val="2"/>
        </w:numPr>
        <w:spacing w:after="40"/>
      </w:pPr>
      <w:r>
        <w:rPr>
          <w:color w:val="595959"/>
          <w:sz w:val="20"/>
          <w:szCs w:val="20"/>
        </w:rPr>
        <w:t xml:space="preserve">Notulen van inhoudelijke bespreking</w:t>
      </w:r>
    </w:p>
    <w:p>
      <w:pPr>
        <w:pStyle w:val="ListParagraph"/>
        <w:numPr>
          <w:ilvl w:val="0"/>
          <w:numId w:val="2"/>
        </w:numPr>
        <w:spacing w:after="40"/>
      </w:pPr>
      <w:r>
        <w:rPr>
          <w:color w:val="595959"/>
          <w:sz w:val="20"/>
          <w:szCs w:val="20"/>
        </w:rPr>
        <w:t xml:space="preserve">Formeel besluit met motivering</w:t>
      </w:r>
    </w:p>
    <w:p>
      <w:pPr>
        <w:spacing w:after="60" w:before="120"/>
      </w:pPr>
      <w:r>
        <w:rPr>
          <w:b/>
          <w:bCs/>
          <w:sz w:val="22"/>
          <w:szCs w:val="22"/>
        </w:rPr>
        <w:t xml:space="preserve">5. Implementatie en monitoring</w:t>
      </w:r>
      <w:r>
        <w:rPr>
          <w:b/>
          <w:bCs/>
          <w:color w:val="0F2744"/>
          <w:sz w:val="18"/>
          <w:szCs w:val="18"/>
        </w:rPr>
        <w:t xml:space="preserve"> [bewijs vereist]</w:t>
      </w:r>
    </w:p>
    <w:p>
      <w:pPr>
        <w:spacing w:after="60"/>
        <w:ind w:left="360"/>
      </w:pPr>
      <w:r>
        <w:rPr>
          <w:sz w:val="21"/>
          <w:szCs w:val="21"/>
        </w:rPr>
        <w:t xml:space="preserve">Vermogensbeheerder krijgt aangepaste mandaatinstructie. Eerste rapportagecyclus toetst implementatie.</w:t>
      </w:r>
    </w:p>
    <w:p>
      <w:pPr>
        <w:pStyle w:val="ListParagraph"/>
        <w:numPr>
          <w:ilvl w:val="0"/>
          <w:numId w:val="2"/>
        </w:numPr>
        <w:spacing w:after="40"/>
      </w:pPr>
      <w:r>
        <w:rPr>
          <w:color w:val="595959"/>
          <w:sz w:val="20"/>
          <w:szCs w:val="20"/>
        </w:rPr>
        <w:t xml:space="preserve">Aangepaste mandaatdocumentatie</w:t>
      </w:r>
    </w:p>
    <w:p>
      <w:pPr>
        <w:pStyle w:val="ListParagraph"/>
        <w:numPr>
          <w:ilvl w:val="0"/>
          <w:numId w:val="2"/>
        </w:numPr>
        <w:spacing w:after="40"/>
      </w:pPr>
      <w:r>
        <w:rPr>
          <w:color w:val="595959"/>
          <w:sz w:val="20"/>
          <w:szCs w:val="20"/>
        </w:rPr>
        <w:t xml:space="preserve">Eerste monitoring-rapport gedeeld met bestuur</w:t>
      </w:r>
    </w:p>
    <w:p>
      <w:pPr>
        <w:spacing w:after="100" w:before="240"/>
      </w:pPr>
      <w:r>
        <w:rPr>
          <w:b/>
          <w:bCs/>
          <w:color w:val="0F2744"/>
          <w:sz w:val="24"/>
          <w:szCs w:val="24"/>
        </w:rPr>
        <w:t xml:space="preserve">Aandachtspunten en typische valkuilen</w:t>
      </w:r>
    </w:p>
    <w:p>
      <w:pPr>
        <w:spacing w:after="320"/>
      </w:pPr>
      <w:r>
        <w:rPr>
          <w:i/>
          <w:iCs/>
          <w:sz w:val="22"/>
          <w:szCs w:val="22"/>
        </w:rPr>
        <w:t xml:space="preserve">Onderschat niet de tijd die de risk-second-line-toets nodig heeft als die echt onafhankelijk wordt uitgevoerd. In de praktijk ontstaat hier vaak vertraging die het transitiemoment in de markt mist. Plan vanaf de start een realistisch tijdsslot voor risk-onafhankelijkheid in plaats van het achteraf in te vouwen.</w:t>
      </w:r>
    </w:p>
    <w:p>
      <w:pPr>
        <w:pStyle w:val="Heading2"/>
      </w:pPr>
      <w:r>
        <w:t xml:space="preserve">Selectie of vervanging vermogensbeheerder</w:t>
      </w:r>
    </w:p>
    <w:p>
      <w:pPr>
        <w:spacing w:after="200"/>
      </w:pPr>
      <w:r>
        <w:rPr>
          <w:sz w:val="22"/>
          <w:szCs w:val="22"/>
        </w:rPr>
        <w:t xml:space="preserve">Een nieuwe vermogensbeheerder of fundamentele herziening van het mandaat van een bestaande beheerder is een hoog-impact besluit met grote financiële consequenties en zware due diligence-eisen. De procedure moet aantoonbaar onafhankelijk en zorgvuldig zijn.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Beleidsbesluit, ondermaatse prestaties van zittende beheerder, contractafloop, strategische heroriëntatie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 asset class doorgaans één keer per 5-10 jaar</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op voorstel beleggingscommissie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6-12 maanden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Pensioenwet art. 143 (uitbesteding), DNB Outsourcing Guidelines, IORP II</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Voorbereidingsbesluit en RFP-opzet</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besluit tot start van een selectietraject. Opzet RFP met selectiecriteria, scoringsmodel, tijdslijn.</w:t>
      </w:r>
    </w:p>
    <w:p>
      <w:pPr>
        <w:pStyle w:val="ListParagraph"/>
        <w:numPr>
          <w:ilvl w:val="0"/>
          <w:numId w:val="2"/>
        </w:numPr>
        <w:spacing w:after="40"/>
      </w:pPr>
      <w:r>
        <w:rPr>
          <w:color w:val="595959"/>
          <w:sz w:val="20"/>
          <w:szCs w:val="20"/>
        </w:rPr>
        <w:t xml:space="preserve">RFP-document opgesteld</w:t>
      </w:r>
    </w:p>
    <w:p>
      <w:pPr>
        <w:pStyle w:val="ListParagraph"/>
        <w:numPr>
          <w:ilvl w:val="0"/>
          <w:numId w:val="2"/>
        </w:numPr>
        <w:spacing w:after="40"/>
      </w:pPr>
      <w:r>
        <w:rPr>
          <w:color w:val="595959"/>
          <w:sz w:val="20"/>
          <w:szCs w:val="20"/>
        </w:rPr>
        <w:t xml:space="preserve">Selectiecriteria en weegmodel</w:t>
      </w:r>
    </w:p>
    <w:p>
      <w:pPr>
        <w:pStyle w:val="ListParagraph"/>
        <w:numPr>
          <w:ilvl w:val="0"/>
          <w:numId w:val="2"/>
        </w:numPr>
        <w:spacing w:after="40"/>
      </w:pPr>
      <w:r>
        <w:rPr>
          <w:color w:val="595959"/>
          <w:sz w:val="20"/>
          <w:szCs w:val="20"/>
        </w:rPr>
        <w:t xml:space="preserve">Longlist van uit te nodigen partijen</w:t>
      </w:r>
    </w:p>
    <w:p>
      <w:pPr>
        <w:spacing w:after="60" w:before="120"/>
      </w:pPr>
      <w:r>
        <w:rPr>
          <w:b/>
          <w:bCs/>
          <w:sz w:val="22"/>
          <w:szCs w:val="22"/>
        </w:rPr>
        <w:t xml:space="preserve">2. Marktbenadering en eerste schifting</w:t>
      </w:r>
      <w:r>
        <w:rPr>
          <w:b/>
          <w:bCs/>
          <w:color w:val="0F2744"/>
          <w:sz w:val="18"/>
          <w:szCs w:val="18"/>
        </w:rPr>
        <w:t xml:space="preserve"> [bewijs vereist]</w:t>
      </w:r>
    </w:p>
    <w:p>
      <w:pPr>
        <w:spacing w:after="60"/>
        <w:ind w:left="360"/>
      </w:pPr>
      <w:r>
        <w:rPr>
          <w:sz w:val="21"/>
          <w:szCs w:val="21"/>
        </w:rPr>
        <w:t xml:space="preserve">RFP uitsturen, antwoorden ontvangen, eerste schifting naar shortlist op basis van het scoringsmodel.</w:t>
      </w:r>
    </w:p>
    <w:p>
      <w:pPr>
        <w:pStyle w:val="ListParagraph"/>
        <w:numPr>
          <w:ilvl w:val="0"/>
          <w:numId w:val="2"/>
        </w:numPr>
        <w:spacing w:after="40"/>
      </w:pPr>
      <w:r>
        <w:rPr>
          <w:color w:val="595959"/>
          <w:sz w:val="20"/>
          <w:szCs w:val="20"/>
        </w:rPr>
        <w:t xml:space="preserve">Antwoorden ontvangen en gescoord</w:t>
      </w:r>
    </w:p>
    <w:p>
      <w:pPr>
        <w:pStyle w:val="ListParagraph"/>
        <w:numPr>
          <w:ilvl w:val="0"/>
          <w:numId w:val="2"/>
        </w:numPr>
        <w:spacing w:after="40"/>
      </w:pPr>
      <w:r>
        <w:rPr>
          <w:color w:val="595959"/>
          <w:sz w:val="20"/>
          <w:szCs w:val="20"/>
        </w:rPr>
        <w:t xml:space="preserve">Shortlist van 3-5 partijen</w:t>
      </w:r>
    </w:p>
    <w:p>
      <w:pPr>
        <w:pStyle w:val="ListParagraph"/>
        <w:numPr>
          <w:ilvl w:val="0"/>
          <w:numId w:val="2"/>
        </w:numPr>
        <w:spacing w:after="40"/>
      </w:pPr>
      <w:r>
        <w:rPr>
          <w:color w:val="595959"/>
          <w:sz w:val="20"/>
          <w:szCs w:val="20"/>
        </w:rPr>
        <w:t xml:space="preserve">Documentatie van schiftingsbeslissing</w:t>
      </w:r>
    </w:p>
    <w:p>
      <w:pPr>
        <w:spacing w:after="60" w:before="120"/>
      </w:pPr>
      <w:r>
        <w:rPr>
          <w:b/>
          <w:bCs/>
          <w:sz w:val="22"/>
          <w:szCs w:val="22"/>
        </w:rPr>
        <w:t xml:space="preserve">3. Due diligence shortlist</w:t>
      </w:r>
      <w:r>
        <w:rPr>
          <w:b/>
          <w:bCs/>
          <w:color w:val="0F2744"/>
          <w:sz w:val="18"/>
          <w:szCs w:val="18"/>
        </w:rPr>
        <w:t xml:space="preserve"> [bewijs vereist]</w:t>
      </w:r>
    </w:p>
    <w:p>
      <w:pPr>
        <w:spacing w:after="60"/>
        <w:ind w:left="360"/>
      </w:pPr>
      <w:r>
        <w:rPr>
          <w:sz w:val="21"/>
          <w:szCs w:val="21"/>
        </w:rPr>
        <w:t xml:space="preserve">Diepgaand onderzoek per shortlist-partij: bezoeken, interviews, referentiegesprekken, beoordeling operational due diligence en investment due diligence.</w:t>
      </w:r>
    </w:p>
    <w:p>
      <w:pPr>
        <w:pStyle w:val="ListParagraph"/>
        <w:numPr>
          <w:ilvl w:val="0"/>
          <w:numId w:val="2"/>
        </w:numPr>
        <w:spacing w:after="40"/>
      </w:pPr>
      <w:r>
        <w:rPr>
          <w:color w:val="595959"/>
          <w:sz w:val="20"/>
          <w:szCs w:val="20"/>
        </w:rPr>
        <w:t xml:space="preserve">Operational due diligence-rapport per partij</w:t>
      </w:r>
    </w:p>
    <w:p>
      <w:pPr>
        <w:pStyle w:val="ListParagraph"/>
        <w:numPr>
          <w:ilvl w:val="0"/>
          <w:numId w:val="2"/>
        </w:numPr>
        <w:spacing w:after="40"/>
      </w:pPr>
      <w:r>
        <w:rPr>
          <w:color w:val="595959"/>
          <w:sz w:val="20"/>
          <w:szCs w:val="20"/>
        </w:rPr>
        <w:t xml:space="preserve">Investment due diligence-rapport per partij</w:t>
      </w:r>
    </w:p>
    <w:p>
      <w:pPr>
        <w:pStyle w:val="ListParagraph"/>
        <w:numPr>
          <w:ilvl w:val="0"/>
          <w:numId w:val="2"/>
        </w:numPr>
        <w:spacing w:after="40"/>
      </w:pPr>
      <w:r>
        <w:rPr>
          <w:color w:val="595959"/>
          <w:sz w:val="20"/>
          <w:szCs w:val="20"/>
        </w:rPr>
        <w:t xml:space="preserve">Referentiegesprekken vastgelegd</w:t>
      </w:r>
    </w:p>
    <w:p>
      <w:pPr>
        <w:pStyle w:val="ListParagraph"/>
        <w:numPr>
          <w:ilvl w:val="0"/>
          <w:numId w:val="2"/>
        </w:numPr>
        <w:spacing w:after="40"/>
      </w:pPr>
      <w:r>
        <w:rPr>
          <w:color w:val="595959"/>
          <w:sz w:val="20"/>
          <w:szCs w:val="20"/>
        </w:rPr>
        <w:t xml:space="preserve">Site visits gedaan</w:t>
      </w:r>
    </w:p>
    <w:p>
      <w:pPr>
        <w:spacing w:after="60" w:before="120"/>
      </w:pPr>
      <w:r>
        <w:rPr>
          <w:b/>
          <w:bCs/>
          <w:sz w:val="22"/>
          <w:szCs w:val="22"/>
        </w:rPr>
        <w:t xml:space="preserve">4. Bestuursbespreking en finale selectie</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weegt de bevindingen, bespreekt afwegingen en neemt het selectiebesluit met motivering.</w:t>
      </w:r>
    </w:p>
    <w:p>
      <w:pPr>
        <w:pStyle w:val="ListParagraph"/>
        <w:numPr>
          <w:ilvl w:val="0"/>
          <w:numId w:val="2"/>
        </w:numPr>
        <w:spacing w:after="40"/>
      </w:pPr>
      <w:r>
        <w:rPr>
          <w:color w:val="595959"/>
          <w:sz w:val="20"/>
          <w:szCs w:val="20"/>
        </w:rPr>
        <w:t xml:space="preserve">Vergelijkende analyse</w:t>
      </w:r>
    </w:p>
    <w:p>
      <w:pPr>
        <w:pStyle w:val="ListParagraph"/>
        <w:numPr>
          <w:ilvl w:val="0"/>
          <w:numId w:val="2"/>
        </w:numPr>
        <w:spacing w:after="40"/>
      </w:pPr>
      <w:r>
        <w:rPr>
          <w:color w:val="595959"/>
          <w:sz w:val="20"/>
          <w:szCs w:val="20"/>
        </w:rPr>
        <w:t xml:space="preserve">Selectiebesluit met motivering</w:t>
      </w:r>
    </w:p>
    <w:p>
      <w:pPr>
        <w:pStyle w:val="ListParagraph"/>
        <w:numPr>
          <w:ilvl w:val="0"/>
          <w:numId w:val="2"/>
        </w:numPr>
        <w:spacing w:after="40"/>
      </w:pPr>
      <w:r>
        <w:rPr>
          <w:color w:val="595959"/>
          <w:sz w:val="20"/>
          <w:szCs w:val="20"/>
        </w:rPr>
        <w:t xml:space="preserve">Notulen van besluitvergadering</w:t>
      </w:r>
    </w:p>
    <w:p>
      <w:pPr>
        <w:spacing w:after="60" w:before="120"/>
      </w:pPr>
      <w:r>
        <w:rPr>
          <w:b/>
          <w:bCs/>
          <w:sz w:val="22"/>
          <w:szCs w:val="22"/>
        </w:rPr>
        <w:t xml:space="preserve">5. Contractering en fee-onderhandeling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Onderhandelen van Investment Management Agreement, Service Level Agreement, fee-structuur en juridische kaders.</w:t>
      </w:r>
    </w:p>
    <w:p>
      <w:pPr>
        <w:pStyle w:val="ListParagraph"/>
        <w:numPr>
          <w:ilvl w:val="0"/>
          <w:numId w:val="2"/>
        </w:numPr>
        <w:spacing w:after="40"/>
      </w:pPr>
      <w:r>
        <w:rPr>
          <w:color w:val="595959"/>
          <w:sz w:val="20"/>
          <w:szCs w:val="20"/>
        </w:rPr>
        <w:t xml:space="preserve">IMA en SLA getekend</w:t>
      </w:r>
    </w:p>
    <w:p>
      <w:pPr>
        <w:pStyle w:val="ListParagraph"/>
        <w:numPr>
          <w:ilvl w:val="0"/>
          <w:numId w:val="2"/>
        </w:numPr>
        <w:spacing w:after="40"/>
      </w:pPr>
      <w:r>
        <w:rPr>
          <w:color w:val="595959"/>
          <w:sz w:val="20"/>
          <w:szCs w:val="20"/>
        </w:rPr>
        <w:t xml:space="preserve">Fee-onderbouwing met benchmark</w:t>
      </w:r>
    </w:p>
    <w:p>
      <w:pPr>
        <w:pStyle w:val="ListParagraph"/>
        <w:numPr>
          <w:ilvl w:val="0"/>
          <w:numId w:val="2"/>
        </w:numPr>
        <w:spacing w:after="40"/>
      </w:pPr>
      <w:r>
        <w:rPr>
          <w:color w:val="595959"/>
          <w:sz w:val="20"/>
          <w:szCs w:val="20"/>
        </w:rPr>
        <w:t xml:space="preserve">Juridische review afgerond</w:t>
      </w:r>
    </w:p>
    <w:p>
      <w:pPr>
        <w:spacing w:after="60" w:before="120"/>
      </w:pPr>
      <w:r>
        <w:rPr>
          <w:b/>
          <w:bCs/>
          <w:sz w:val="22"/>
          <w:szCs w:val="22"/>
        </w:rPr>
        <w:t xml:space="preserve">6. Transitiebeheer en operationele live-gang</w:t>
      </w:r>
      <w:r>
        <w:rPr>
          <w:b/>
          <w:bCs/>
          <w:color w:val="0F2744"/>
          <w:sz w:val="18"/>
          <w:szCs w:val="18"/>
        </w:rPr>
        <w:t xml:space="preserve"> [bewijs vereist]</w:t>
      </w:r>
    </w:p>
    <w:p>
      <w:pPr>
        <w:spacing w:after="60"/>
        <w:ind w:left="360"/>
      </w:pPr>
      <w:r>
        <w:rPr>
          <w:sz w:val="21"/>
          <w:szCs w:val="21"/>
        </w:rPr>
        <w:t xml:space="preserve">Geleidelijke overdracht van het mandaat met transitiekostenbeheersing en rapportage van transitiekwaliteit.</w:t>
      </w:r>
    </w:p>
    <w:p>
      <w:pPr>
        <w:pStyle w:val="ListParagraph"/>
        <w:numPr>
          <w:ilvl w:val="0"/>
          <w:numId w:val="2"/>
        </w:numPr>
        <w:spacing w:after="40"/>
      </w:pPr>
      <w:r>
        <w:rPr>
          <w:color w:val="595959"/>
          <w:sz w:val="20"/>
          <w:szCs w:val="20"/>
        </w:rPr>
        <w:t xml:space="preserve">Transitieplan goedgekeurd</w:t>
      </w:r>
    </w:p>
    <w:p>
      <w:pPr>
        <w:pStyle w:val="ListParagraph"/>
        <w:numPr>
          <w:ilvl w:val="0"/>
          <w:numId w:val="2"/>
        </w:numPr>
        <w:spacing w:after="40"/>
      </w:pPr>
      <w:r>
        <w:rPr>
          <w:color w:val="595959"/>
          <w:sz w:val="20"/>
          <w:szCs w:val="20"/>
        </w:rPr>
        <w:t xml:space="preserve">Transitiekosten gerapporteerd</w:t>
      </w:r>
    </w:p>
    <w:p>
      <w:pPr>
        <w:pStyle w:val="ListParagraph"/>
        <w:numPr>
          <w:ilvl w:val="0"/>
          <w:numId w:val="2"/>
        </w:numPr>
        <w:spacing w:after="40"/>
      </w:pPr>
      <w:r>
        <w:rPr>
          <w:color w:val="595959"/>
          <w:sz w:val="20"/>
          <w:szCs w:val="20"/>
        </w:rPr>
        <w:t xml:space="preserve">Eerste reguliere rapportage ontvangen</w:t>
      </w:r>
    </w:p>
    <w:p>
      <w:pPr>
        <w:spacing w:after="100" w:before="240"/>
      </w:pPr>
      <w:r>
        <w:rPr>
          <w:b/>
          <w:bCs/>
          <w:color w:val="0F2744"/>
          <w:sz w:val="24"/>
          <w:szCs w:val="24"/>
        </w:rPr>
        <w:t xml:space="preserve">Aandachtspunten en typische valkuilen</w:t>
      </w:r>
    </w:p>
    <w:p>
      <w:pPr>
        <w:spacing w:after="320"/>
      </w:pPr>
      <w:r>
        <w:rPr>
          <w:i/>
          <w:iCs/>
          <w:sz w:val="22"/>
          <w:szCs w:val="22"/>
        </w:rPr>
        <w:t xml:space="preserve">De grootste verborgen kosten zitten in de transitie, niet in de fees. Een slecht beheerde transitie kan tientallen basispunten kosten — meer dan een jaar fees. Zorg dat transitiekosten expliciet onderdeel zijn van de scoring én dat de winnende partij een hard transitiekostenmaximum committeert.</w:t>
      </w:r>
    </w:p>
    <w:p>
      <w:pPr>
        <w:pStyle w:val="Heading2"/>
      </w:pPr>
      <w:r>
        <w:t xml:space="preserve">Uitbestedingsreview pensioenuitvoerder</w:t>
      </w:r>
    </w:p>
    <w:p>
      <w:pPr>
        <w:spacing w:after="200"/>
      </w:pPr>
      <w:r>
        <w:rPr>
          <w:sz w:val="22"/>
          <w:szCs w:val="22"/>
        </w:rPr>
        <w:t xml:space="preserve">Pensioenfondsen zijn sterk afhankelijk van hun uitvoerder voor administratie, communicatie en uitbetalingen. Periodieke reviews zijn DNB-verplicht en vormen een toetsmoment voor SLA-prestaties, beheersing van risico's en strategische afstemming.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Periodieke planning of incident dat aanleiding geeft tot extra-cyclus review</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Minimaal jaarlijks; uitgebreide review elke 3-5 jaar</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voorbereid door audit- of risk-commissie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8-12 weken bij jaarlijkse review, 4-6 maanden bij grote review</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Pensioenwet art. 143, DNB Outsourcing Guidelines</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Voorbereiding scope en informatie-verzoek</w:t>
      </w:r>
      <w:r>
        <w:rPr>
          <w:b/>
          <w:bCs/>
          <w:color w:val="0F2744"/>
          <w:sz w:val="18"/>
          <w:szCs w:val="18"/>
        </w:rPr>
        <w:t xml:space="preserve"> [bewijs vereist]</w:t>
      </w:r>
    </w:p>
    <w:p>
      <w:pPr>
        <w:spacing w:after="60"/>
        <w:ind w:left="360"/>
      </w:pPr>
      <w:r>
        <w:rPr>
          <w:sz w:val="21"/>
          <w:szCs w:val="21"/>
        </w:rPr>
        <w:t xml:space="preserve">Bepaal scope: SLA-prestaties, incidenten, organisatorische wijzigingen, ICT-veiligheid, klanttevredenheid. Stuur informatie-verzoek aan uitvoerder.</w:t>
      </w:r>
    </w:p>
    <w:p>
      <w:pPr>
        <w:pStyle w:val="ListParagraph"/>
        <w:numPr>
          <w:ilvl w:val="0"/>
          <w:numId w:val="2"/>
        </w:numPr>
        <w:spacing w:after="40"/>
      </w:pPr>
      <w:r>
        <w:rPr>
          <w:color w:val="595959"/>
          <w:sz w:val="20"/>
          <w:szCs w:val="20"/>
        </w:rPr>
        <w:t xml:space="preserve">Scope-document</w:t>
      </w:r>
    </w:p>
    <w:p>
      <w:pPr>
        <w:pStyle w:val="ListParagraph"/>
        <w:numPr>
          <w:ilvl w:val="0"/>
          <w:numId w:val="2"/>
        </w:numPr>
        <w:spacing w:after="40"/>
      </w:pPr>
      <w:r>
        <w:rPr>
          <w:color w:val="595959"/>
          <w:sz w:val="20"/>
          <w:szCs w:val="20"/>
        </w:rPr>
        <w:t xml:space="preserve">Informatieverzoek aan uitvoerder verstuurd</w:t>
      </w:r>
    </w:p>
    <w:p>
      <w:pPr>
        <w:pStyle w:val="ListParagraph"/>
        <w:numPr>
          <w:ilvl w:val="0"/>
          <w:numId w:val="2"/>
        </w:numPr>
        <w:spacing w:after="40"/>
      </w:pPr>
      <w:r>
        <w:rPr>
          <w:color w:val="595959"/>
          <w:sz w:val="20"/>
          <w:szCs w:val="20"/>
        </w:rPr>
        <w:t xml:space="preserve">Termijn voor aanlevering vastgesteld</w:t>
      </w:r>
    </w:p>
    <w:p>
      <w:pPr>
        <w:spacing w:after="60" w:before="120"/>
      </w:pPr>
      <w:r>
        <w:rPr>
          <w:b/>
          <w:bCs/>
          <w:sz w:val="22"/>
          <w:szCs w:val="22"/>
        </w:rPr>
        <w:t xml:space="preserve">2. Analyse SLA-prestaties en incidenten</w:t>
      </w:r>
      <w:r>
        <w:rPr>
          <w:b/>
          <w:bCs/>
          <w:color w:val="0F2744"/>
          <w:sz w:val="18"/>
          <w:szCs w:val="18"/>
        </w:rPr>
        <w:t xml:space="preserve"> [bewijs vereist]</w:t>
      </w:r>
    </w:p>
    <w:p>
      <w:pPr>
        <w:spacing w:after="60"/>
        <w:ind w:left="360"/>
      </w:pPr>
      <w:r>
        <w:rPr>
          <w:sz w:val="21"/>
          <w:szCs w:val="21"/>
        </w:rPr>
        <w:t xml:space="preserve">Beoordeling van SLA-realisatie per kerngebied, incidentanalyse, klacht- en geschiltrends.</w:t>
      </w:r>
    </w:p>
    <w:p>
      <w:pPr>
        <w:pStyle w:val="ListParagraph"/>
        <w:numPr>
          <w:ilvl w:val="0"/>
          <w:numId w:val="2"/>
        </w:numPr>
        <w:spacing w:after="40"/>
      </w:pPr>
      <w:r>
        <w:rPr>
          <w:color w:val="595959"/>
          <w:sz w:val="20"/>
          <w:szCs w:val="20"/>
        </w:rPr>
        <w:t xml:space="preserve">SLA-prestaties per KPI gerapporteerd</w:t>
      </w:r>
    </w:p>
    <w:p>
      <w:pPr>
        <w:pStyle w:val="ListParagraph"/>
        <w:numPr>
          <w:ilvl w:val="0"/>
          <w:numId w:val="2"/>
        </w:numPr>
        <w:spacing w:after="40"/>
      </w:pPr>
      <w:r>
        <w:rPr>
          <w:color w:val="595959"/>
          <w:sz w:val="20"/>
          <w:szCs w:val="20"/>
        </w:rPr>
        <w:t xml:space="preserve">Incidenten gecategoriseerd</w:t>
      </w:r>
    </w:p>
    <w:p>
      <w:pPr>
        <w:pStyle w:val="ListParagraph"/>
        <w:numPr>
          <w:ilvl w:val="0"/>
          <w:numId w:val="2"/>
        </w:numPr>
        <w:spacing w:after="40"/>
      </w:pPr>
      <w:r>
        <w:rPr>
          <w:color w:val="595959"/>
          <w:sz w:val="20"/>
          <w:szCs w:val="20"/>
        </w:rPr>
        <w:t xml:space="preserve">Trendanalyse over de periode</w:t>
      </w:r>
    </w:p>
    <w:p>
      <w:pPr>
        <w:spacing w:after="60" w:before="120"/>
      </w:pPr>
      <w:r>
        <w:rPr>
          <w:b/>
          <w:bCs/>
          <w:sz w:val="22"/>
          <w:szCs w:val="22"/>
        </w:rPr>
        <w:t xml:space="preserve">3. Risico- en beheersingstoets</w:t>
      </w:r>
      <w:r>
        <w:rPr>
          <w:b/>
          <w:bCs/>
          <w:color w:val="0F2744"/>
          <w:sz w:val="18"/>
          <w:szCs w:val="18"/>
        </w:rPr>
        <w:t xml:space="preserve"> [bewijs vereist]</w:t>
      </w:r>
    </w:p>
    <w:p>
      <w:pPr>
        <w:spacing w:after="60"/>
        <w:ind w:left="360"/>
      </w:pPr>
      <w:r>
        <w:rPr>
          <w:sz w:val="21"/>
          <w:szCs w:val="21"/>
        </w:rPr>
        <w:t xml:space="preserve">Beoordeling van risicobeheersing, ICT-beveiliging, ISAE 3402 of vergelijkbare assurance-rapporten.</w:t>
      </w:r>
    </w:p>
    <w:p>
      <w:pPr>
        <w:pStyle w:val="ListParagraph"/>
        <w:numPr>
          <w:ilvl w:val="0"/>
          <w:numId w:val="2"/>
        </w:numPr>
        <w:spacing w:after="40"/>
      </w:pPr>
      <w:r>
        <w:rPr>
          <w:color w:val="595959"/>
          <w:sz w:val="20"/>
          <w:szCs w:val="20"/>
        </w:rPr>
        <w:t xml:space="preserve">ISAE 3402 of equivalent ontvangen en geanalyseerd</w:t>
      </w:r>
    </w:p>
    <w:p>
      <w:pPr>
        <w:pStyle w:val="ListParagraph"/>
        <w:numPr>
          <w:ilvl w:val="0"/>
          <w:numId w:val="2"/>
        </w:numPr>
        <w:spacing w:after="40"/>
      </w:pPr>
      <w:r>
        <w:rPr>
          <w:color w:val="595959"/>
          <w:sz w:val="20"/>
          <w:szCs w:val="20"/>
        </w:rPr>
        <w:t xml:space="preserve">Bevindingen en mitigerende maatregelen</w:t>
      </w:r>
    </w:p>
    <w:p>
      <w:pPr>
        <w:spacing w:after="60" w:before="120"/>
      </w:pPr>
      <w:r>
        <w:rPr>
          <w:b/>
          <w:bCs/>
          <w:sz w:val="22"/>
          <w:szCs w:val="22"/>
        </w:rPr>
        <w:t xml:space="preserve">4. Strategisch gesprek bestuur en uitvoerder</w:t>
      </w:r>
      <w:r>
        <w:rPr>
          <w:b/>
          <w:bCs/>
          <w:color w:val="0F2744"/>
          <w:sz w:val="18"/>
          <w:szCs w:val="18"/>
        </w:rPr>
        <w:t xml:space="preserve"> [bewijs vereist]</w:t>
      </w:r>
    </w:p>
    <w:p>
      <w:pPr>
        <w:spacing w:after="60"/>
        <w:ind w:left="360"/>
      </w:pPr>
      <w:r>
        <w:rPr>
          <w:sz w:val="21"/>
          <w:szCs w:val="21"/>
        </w:rPr>
        <w:t xml:space="preserve">Bestuurlijk gesprek over toekomstgerichtheid, strategische uitdagingen en samenwerkingskwaliteit.</w:t>
      </w:r>
    </w:p>
    <w:p>
      <w:pPr>
        <w:pStyle w:val="ListParagraph"/>
        <w:numPr>
          <w:ilvl w:val="0"/>
          <w:numId w:val="2"/>
        </w:numPr>
        <w:spacing w:after="40"/>
      </w:pPr>
      <w:r>
        <w:rPr>
          <w:color w:val="595959"/>
          <w:sz w:val="20"/>
          <w:szCs w:val="20"/>
        </w:rPr>
        <w:t xml:space="preserve">Verslag strategisch gesprek</w:t>
      </w:r>
    </w:p>
    <w:p>
      <w:pPr>
        <w:pStyle w:val="ListParagraph"/>
        <w:numPr>
          <w:ilvl w:val="0"/>
          <w:numId w:val="2"/>
        </w:numPr>
        <w:spacing w:after="40"/>
      </w:pPr>
      <w:r>
        <w:rPr>
          <w:color w:val="595959"/>
          <w:sz w:val="20"/>
          <w:szCs w:val="20"/>
        </w:rPr>
        <w:t xml:space="preserve">Lijst gemaakte afspraken</w:t>
      </w:r>
    </w:p>
    <w:p>
      <w:pPr>
        <w:spacing w:after="60" w:before="120"/>
      </w:pPr>
      <w:r>
        <w:rPr>
          <w:b/>
          <w:bCs/>
          <w:sz w:val="22"/>
          <w:szCs w:val="22"/>
        </w:rPr>
        <w:t xml:space="preserve">5. Evaluatieconclusie en eventuele bijsturing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formuleert oordeel, formuleert bijsturingsacties of besluit tot vervolgtraject (bv. heroriëntatie uitvoerder).</w:t>
      </w:r>
    </w:p>
    <w:p>
      <w:pPr>
        <w:pStyle w:val="ListParagraph"/>
        <w:numPr>
          <w:ilvl w:val="0"/>
          <w:numId w:val="2"/>
        </w:numPr>
        <w:spacing w:after="40"/>
      </w:pPr>
      <w:r>
        <w:rPr>
          <w:color w:val="595959"/>
          <w:sz w:val="20"/>
          <w:szCs w:val="20"/>
        </w:rPr>
        <w:t xml:space="preserve">Evaluatierapport vastgesteld</w:t>
      </w:r>
    </w:p>
    <w:p>
      <w:pPr>
        <w:pStyle w:val="ListParagraph"/>
        <w:numPr>
          <w:ilvl w:val="0"/>
          <w:numId w:val="2"/>
        </w:numPr>
        <w:spacing w:after="40"/>
      </w:pPr>
      <w:r>
        <w:rPr>
          <w:color w:val="595959"/>
          <w:sz w:val="20"/>
          <w:szCs w:val="20"/>
        </w:rPr>
        <w:t xml:space="preserve">Acties belegd met deadlines</w:t>
      </w:r>
    </w:p>
    <w:p>
      <w:pPr>
        <w:pStyle w:val="ListParagraph"/>
        <w:numPr>
          <w:ilvl w:val="0"/>
          <w:numId w:val="2"/>
        </w:numPr>
        <w:spacing w:after="40"/>
      </w:pPr>
      <w:r>
        <w:rPr>
          <w:color w:val="595959"/>
          <w:sz w:val="20"/>
          <w:szCs w:val="20"/>
        </w:rPr>
        <w:t xml:space="preserve">Eventueel besluit tot heroriëntatie</w:t>
      </w:r>
    </w:p>
    <w:p>
      <w:pPr>
        <w:spacing w:after="100" w:before="240"/>
      </w:pPr>
      <w:r>
        <w:rPr>
          <w:b/>
          <w:bCs/>
          <w:color w:val="0F2744"/>
          <w:sz w:val="24"/>
          <w:szCs w:val="24"/>
        </w:rPr>
        <w:t xml:space="preserve">Aandachtspunten en typische valkuilen</w:t>
      </w:r>
    </w:p>
    <w:p>
      <w:pPr>
        <w:spacing w:after="320"/>
      </w:pPr>
      <w:r>
        <w:rPr>
          <w:i/>
          <w:iCs/>
          <w:sz w:val="22"/>
          <w:szCs w:val="22"/>
        </w:rPr>
        <w:t xml:space="preserve">Uitvoerders leveren zelf veel van de input — er zit een ingebouwd marker-eigen-huiswerk-probleem. Triangleer altijd met een onafhankelijke bron: klachtcijfers vergeleken met deelnemerssurvey, SLA met steekproef-controle, en ten minste één extern audit-onderdeel.</w:t>
      </w:r>
    </w:p>
    <w:p>
      <w:pPr>
        <w:pStyle w:val="Heading2"/>
      </w:pPr>
      <w:r>
        <w:t xml:space="preserve">Incident-meldplicht DNB</w:t>
      </w:r>
    </w:p>
    <w:p>
      <w:pPr>
        <w:spacing w:after="200"/>
      </w:pPr>
      <w:r>
        <w:rPr>
          <w:sz w:val="22"/>
          <w:szCs w:val="22"/>
        </w:rPr>
        <w:t xml:space="preserve">Bij ICT-incidenten, datalekken, ernstige service-onderbrekingen of integriteitsincidenten geldt een tijdkritische meldplicht aan DNB. De interne behandeling moet daarnaast zorgvuldig en goed gedocumenteerd zijn voor latere reproduceerbaarheid.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Geconstateerd incident dat voldoet aan meldcriteria DNB</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 aanleiding (zelden gepland)</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met operationele rol voor risk-functie en bestuurssecretariaat</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Eerste melding binnen 24-72 uur; volledige afwikkeling 4-12 weken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Pensioenwet art. 138, Beleidsregel Incidenten DNB, AVG voor datalekken</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Triage en eerste classificatie</w:t>
      </w:r>
      <w:r>
        <w:rPr>
          <w:b/>
          <w:bCs/>
          <w:color w:val="0F2744"/>
          <w:sz w:val="18"/>
          <w:szCs w:val="18"/>
        </w:rPr>
        <w:t xml:space="preserve"> [bewijs vereist]</w:t>
      </w:r>
    </w:p>
    <w:p>
      <w:pPr>
        <w:spacing w:after="60"/>
        <w:ind w:left="360"/>
      </w:pPr>
      <w:r>
        <w:rPr>
          <w:sz w:val="21"/>
          <w:szCs w:val="21"/>
        </w:rPr>
        <w:t xml:space="preserve">Incident wordt door risk- of operationele functie geclassificeerd op basis van DNB-meldcriteria. Tijdklok voor melding start hier.</w:t>
      </w:r>
    </w:p>
    <w:p>
      <w:pPr>
        <w:pStyle w:val="ListParagraph"/>
        <w:numPr>
          <w:ilvl w:val="0"/>
          <w:numId w:val="2"/>
        </w:numPr>
        <w:spacing w:after="40"/>
      </w:pPr>
      <w:r>
        <w:rPr>
          <w:color w:val="595959"/>
          <w:sz w:val="20"/>
          <w:szCs w:val="20"/>
        </w:rPr>
        <w:t xml:space="preserve">Classificatie vastgelegd</w:t>
      </w:r>
    </w:p>
    <w:p>
      <w:pPr>
        <w:pStyle w:val="ListParagraph"/>
        <w:numPr>
          <w:ilvl w:val="0"/>
          <w:numId w:val="2"/>
        </w:numPr>
        <w:spacing w:after="40"/>
      </w:pPr>
      <w:r>
        <w:rPr>
          <w:color w:val="595959"/>
          <w:sz w:val="20"/>
          <w:szCs w:val="20"/>
        </w:rPr>
        <w:t xml:space="preserve">Tijdsstempel van constatering</w:t>
      </w:r>
    </w:p>
    <w:p>
      <w:pPr>
        <w:pStyle w:val="ListParagraph"/>
        <w:numPr>
          <w:ilvl w:val="0"/>
          <w:numId w:val="2"/>
        </w:numPr>
        <w:spacing w:after="40"/>
      </w:pPr>
      <w:r>
        <w:rPr>
          <w:color w:val="595959"/>
          <w:sz w:val="20"/>
          <w:szCs w:val="20"/>
        </w:rPr>
        <w:t xml:space="preserve">Eerste impact-inschatting</w:t>
      </w:r>
    </w:p>
    <w:p>
      <w:pPr>
        <w:spacing w:after="60" w:before="120"/>
      </w:pPr>
      <w:r>
        <w:rPr>
          <w:b/>
          <w:bCs/>
          <w:sz w:val="22"/>
          <w:szCs w:val="22"/>
        </w:rPr>
        <w:t xml:space="preserve">2. Bestuursinformatie en spoedoverleg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wordt direct geïnformeerd, eventueel spoedoverleg ingelast. Voor meldenswaardige incidenten is het bestuur de meldende partij.</w:t>
      </w:r>
    </w:p>
    <w:p>
      <w:pPr>
        <w:pStyle w:val="ListParagraph"/>
        <w:numPr>
          <w:ilvl w:val="0"/>
          <w:numId w:val="2"/>
        </w:numPr>
        <w:spacing w:after="40"/>
      </w:pPr>
      <w:r>
        <w:rPr>
          <w:color w:val="595959"/>
          <w:sz w:val="20"/>
          <w:szCs w:val="20"/>
        </w:rPr>
        <w:t xml:space="preserve">Bestuur-mail of spoedoverleg gehouden</w:t>
      </w:r>
    </w:p>
    <w:p>
      <w:pPr>
        <w:pStyle w:val="ListParagraph"/>
        <w:numPr>
          <w:ilvl w:val="0"/>
          <w:numId w:val="2"/>
        </w:numPr>
        <w:spacing w:after="40"/>
      </w:pPr>
      <w:r>
        <w:rPr>
          <w:color w:val="595959"/>
          <w:sz w:val="20"/>
          <w:szCs w:val="20"/>
        </w:rPr>
        <w:t xml:space="preserve">Beslissing over meldenswaardigheid genomen</w:t>
      </w:r>
    </w:p>
    <w:p>
      <w:pPr>
        <w:spacing w:after="60" w:before="120"/>
      </w:pPr>
      <w:r>
        <w:rPr>
          <w:b/>
          <w:bCs/>
          <w:sz w:val="22"/>
          <w:szCs w:val="22"/>
        </w:rPr>
        <w:t xml:space="preserve">3. Initiële melding aan DNB</w:t>
      </w:r>
      <w:r>
        <w:rPr>
          <w:b/>
          <w:bCs/>
          <w:color w:val="0F2744"/>
          <w:sz w:val="18"/>
          <w:szCs w:val="18"/>
        </w:rPr>
        <w:t xml:space="preserve"> [bewijs vereist]</w:t>
      </w:r>
    </w:p>
    <w:p>
      <w:pPr>
        <w:spacing w:after="60"/>
        <w:ind w:left="360"/>
      </w:pPr>
      <w:r>
        <w:rPr>
          <w:sz w:val="21"/>
          <w:szCs w:val="21"/>
        </w:rPr>
        <w:t xml:space="preserve">Eerste melding aan DNB via voorgeschreven kanaal, binnen termijn (vaak 24 of 72 uur). Aanvullende informatie volgt later.</w:t>
      </w:r>
    </w:p>
    <w:p>
      <w:pPr>
        <w:pStyle w:val="ListParagraph"/>
        <w:numPr>
          <w:ilvl w:val="0"/>
          <w:numId w:val="2"/>
        </w:numPr>
        <w:spacing w:after="40"/>
      </w:pPr>
      <w:r>
        <w:rPr>
          <w:color w:val="595959"/>
          <w:sz w:val="20"/>
          <w:szCs w:val="20"/>
        </w:rPr>
        <w:t xml:space="preserve">Initiële melding verzonden binnen termijn</w:t>
      </w:r>
    </w:p>
    <w:p>
      <w:pPr>
        <w:pStyle w:val="ListParagraph"/>
        <w:numPr>
          <w:ilvl w:val="0"/>
          <w:numId w:val="2"/>
        </w:numPr>
        <w:spacing w:after="40"/>
      </w:pPr>
      <w:r>
        <w:rPr>
          <w:color w:val="595959"/>
          <w:sz w:val="20"/>
          <w:szCs w:val="20"/>
        </w:rPr>
        <w:t xml:space="preserve">Bevestiging DNB ontvangen</w:t>
      </w:r>
    </w:p>
    <w:p>
      <w:pPr>
        <w:spacing w:after="60" w:before="120"/>
      </w:pPr>
      <w:r>
        <w:rPr>
          <w:b/>
          <w:bCs/>
          <w:sz w:val="22"/>
          <w:szCs w:val="22"/>
        </w:rPr>
        <w:t xml:space="preserve">4. Onderzoek en root-cause-analyse</w:t>
      </w:r>
      <w:r>
        <w:rPr>
          <w:b/>
          <w:bCs/>
          <w:color w:val="0F2744"/>
          <w:sz w:val="18"/>
          <w:szCs w:val="18"/>
        </w:rPr>
        <w:t xml:space="preserve"> [bewijs vereist]</w:t>
      </w:r>
    </w:p>
    <w:p>
      <w:pPr>
        <w:spacing w:after="60"/>
        <w:ind w:left="360"/>
      </w:pPr>
      <w:r>
        <w:rPr>
          <w:sz w:val="21"/>
          <w:szCs w:val="21"/>
        </w:rPr>
        <w:t xml:space="preserve">Diepgaand onderzoek naar oorzaak, omvang, duur en mitigerende maatregelen. Vaak met externe expertise (bv. forensisch IT bij datalek).</w:t>
      </w:r>
    </w:p>
    <w:p>
      <w:pPr>
        <w:pStyle w:val="ListParagraph"/>
        <w:numPr>
          <w:ilvl w:val="0"/>
          <w:numId w:val="2"/>
        </w:numPr>
        <w:spacing w:after="40"/>
      </w:pPr>
      <w:r>
        <w:rPr>
          <w:color w:val="595959"/>
          <w:sz w:val="20"/>
          <w:szCs w:val="20"/>
        </w:rPr>
        <w:t xml:space="preserve">Root-cause-rapport</w:t>
      </w:r>
    </w:p>
    <w:p>
      <w:pPr>
        <w:pStyle w:val="ListParagraph"/>
        <w:numPr>
          <w:ilvl w:val="0"/>
          <w:numId w:val="2"/>
        </w:numPr>
        <w:spacing w:after="40"/>
      </w:pPr>
      <w:r>
        <w:rPr>
          <w:color w:val="595959"/>
          <w:sz w:val="20"/>
          <w:szCs w:val="20"/>
        </w:rPr>
        <w:t xml:space="preserve">Omvangsbepaling getroffen deelnemers</w:t>
      </w:r>
    </w:p>
    <w:p>
      <w:pPr>
        <w:pStyle w:val="ListParagraph"/>
        <w:numPr>
          <w:ilvl w:val="0"/>
          <w:numId w:val="2"/>
        </w:numPr>
        <w:spacing w:after="40"/>
      </w:pPr>
      <w:r>
        <w:rPr>
          <w:color w:val="595959"/>
          <w:sz w:val="20"/>
          <w:szCs w:val="20"/>
        </w:rPr>
        <w:t xml:space="preserve">Tijdslijn van het incident</w:t>
      </w:r>
    </w:p>
    <w:p>
      <w:pPr>
        <w:spacing w:after="60" w:before="120"/>
      </w:pPr>
      <w:r>
        <w:rPr>
          <w:b/>
          <w:bCs/>
          <w:sz w:val="22"/>
          <w:szCs w:val="22"/>
        </w:rPr>
        <w:t xml:space="preserve">5. Vervolgmelding en mitigerende maatregelen</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Volledige vervolgmelding aan DNB met root-cause, omvang, mitigerende en voorkomende maatregelen.</w:t>
      </w:r>
    </w:p>
    <w:p>
      <w:pPr>
        <w:pStyle w:val="ListParagraph"/>
        <w:numPr>
          <w:ilvl w:val="0"/>
          <w:numId w:val="2"/>
        </w:numPr>
        <w:spacing w:after="40"/>
      </w:pPr>
      <w:r>
        <w:rPr>
          <w:color w:val="595959"/>
          <w:sz w:val="20"/>
          <w:szCs w:val="20"/>
        </w:rPr>
        <w:t xml:space="preserve">Vervolgmelding verzonden</w:t>
      </w:r>
    </w:p>
    <w:p>
      <w:pPr>
        <w:pStyle w:val="ListParagraph"/>
        <w:numPr>
          <w:ilvl w:val="0"/>
          <w:numId w:val="2"/>
        </w:numPr>
        <w:spacing w:after="40"/>
      </w:pPr>
      <w:r>
        <w:rPr>
          <w:color w:val="595959"/>
          <w:sz w:val="20"/>
          <w:szCs w:val="20"/>
        </w:rPr>
        <w:t xml:space="preserve">Maatregelenplan met deadlines</w:t>
      </w:r>
    </w:p>
    <w:p>
      <w:pPr>
        <w:pStyle w:val="ListParagraph"/>
        <w:numPr>
          <w:ilvl w:val="0"/>
          <w:numId w:val="2"/>
        </w:numPr>
        <w:spacing w:after="40"/>
      </w:pPr>
      <w:r>
        <w:rPr>
          <w:color w:val="595959"/>
          <w:sz w:val="20"/>
          <w:szCs w:val="20"/>
        </w:rPr>
        <w:t xml:space="preserve">Communicatie naar deelnemers indien nodig</w:t>
      </w:r>
    </w:p>
    <w:p>
      <w:pPr>
        <w:spacing w:after="60" w:before="120"/>
      </w:pPr>
      <w:r>
        <w:rPr>
          <w:b/>
          <w:bCs/>
          <w:sz w:val="22"/>
          <w:szCs w:val="22"/>
        </w:rPr>
        <w:t xml:space="preserve">6. Lessons learned en structurele verbeteringen</w:t>
      </w:r>
      <w:r>
        <w:rPr>
          <w:b/>
          <w:bCs/>
          <w:color w:val="0F2744"/>
          <w:sz w:val="18"/>
          <w:szCs w:val="18"/>
        </w:rPr>
        <w:t xml:space="preserve"> [bewijs vereist]</w:t>
      </w:r>
    </w:p>
    <w:p>
      <w:pPr>
        <w:spacing w:after="60"/>
        <w:ind w:left="360"/>
      </w:pPr>
      <w:r>
        <w:rPr>
          <w:sz w:val="21"/>
          <w:szCs w:val="21"/>
        </w:rPr>
        <w:t xml:space="preserve">Na afsluiting structurele leerpunten formaliseren, opnemen in risicobeleid en opnemen in de risicomatrix als terugkerend aandachtspunt.</w:t>
      </w:r>
    </w:p>
    <w:p>
      <w:pPr>
        <w:pStyle w:val="ListParagraph"/>
        <w:numPr>
          <w:ilvl w:val="0"/>
          <w:numId w:val="2"/>
        </w:numPr>
        <w:spacing w:after="40"/>
      </w:pPr>
      <w:r>
        <w:rPr>
          <w:color w:val="595959"/>
          <w:sz w:val="20"/>
          <w:szCs w:val="20"/>
        </w:rPr>
        <w:t xml:space="preserve">Lessons-learned-document</w:t>
      </w:r>
    </w:p>
    <w:p>
      <w:pPr>
        <w:pStyle w:val="ListParagraph"/>
        <w:numPr>
          <w:ilvl w:val="0"/>
          <w:numId w:val="2"/>
        </w:numPr>
        <w:spacing w:after="40"/>
      </w:pPr>
      <w:r>
        <w:rPr>
          <w:color w:val="595959"/>
          <w:sz w:val="20"/>
          <w:szCs w:val="20"/>
        </w:rPr>
        <w:t xml:space="preserve">Aanpassingen in beleid of processen</w:t>
      </w:r>
    </w:p>
    <w:p>
      <w:pPr>
        <w:pStyle w:val="ListParagraph"/>
        <w:numPr>
          <w:ilvl w:val="0"/>
          <w:numId w:val="2"/>
        </w:numPr>
        <w:spacing w:after="40"/>
      </w:pPr>
      <w:r>
        <w:rPr>
          <w:color w:val="595959"/>
          <w:sz w:val="20"/>
          <w:szCs w:val="20"/>
        </w:rPr>
        <w:t xml:space="preserve">Risicomatrix bijgewerkt</w:t>
      </w:r>
    </w:p>
    <w:p>
      <w:pPr>
        <w:spacing w:after="100" w:before="240"/>
      </w:pPr>
      <w:r>
        <w:rPr>
          <w:b/>
          <w:bCs/>
          <w:color w:val="0F2744"/>
          <w:sz w:val="24"/>
          <w:szCs w:val="24"/>
        </w:rPr>
        <w:t xml:space="preserve">Aandachtspunten en typische valkuilen</w:t>
      </w:r>
    </w:p>
    <w:p>
      <w:pPr>
        <w:spacing w:after="320"/>
      </w:pPr>
      <w:r>
        <w:rPr>
          <w:i/>
          <w:iCs/>
          <w:sz w:val="22"/>
          <w:szCs w:val="22"/>
        </w:rPr>
        <w:t xml:space="preserve">De grootste fouten worden meestal in de eerste 24 uur gemaakt: te late melding, te smalle scope-inschatting, of te veel optimisme over de impact. Heb een vooraf-vastgesteld classificatieframework dat onder druk werkt, en wees liever voorzichtig met meldenswaardigheid dan dat je achteraf te laat blijkt.</w:t>
      </w:r>
    </w:p>
    <w:p>
      <w:pPr>
        <w:pStyle w:val="Heading2"/>
      </w:pPr>
      <w:r>
        <w:t xml:space="preserve">ALM-studie en strategische portefeuille-herziening</w:t>
      </w:r>
    </w:p>
    <w:p>
      <w:pPr>
        <w:spacing w:after="200"/>
      </w:pPr>
      <w:r>
        <w:rPr>
          <w:sz w:val="22"/>
          <w:szCs w:val="22"/>
        </w:rPr>
        <w:t xml:space="preserve">Een Asset-Liability-Management-studie is de fundamentele toetsing of de huidige beleggingsstrategie aansluit bij de verplichtingen-structuur en de risicobereidheid. De uitkomst leidt vaak tot herziening van de strategische assetallocatie en het hedge-beleid.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Vaste cyclus, materiële wijziging in deelnemerspopulatie, of Wtp-transitie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Doorgaans elke 3 jaar; tussentijds bij grote wijzigingen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voorbereid door beleggingscommissie en externe ALM-adviseur</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 maanden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Pensioenwet art. 134-135, Besluit ftk, IORP II</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Opdrachtformulering en adviseurselectie</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formuleert de scope van de ALM-studie en selecteert een externe adviseur (Mercer, Cardano, Ortec Finance, Aon Hewitt, etc.).</w:t>
      </w:r>
    </w:p>
    <w:p>
      <w:pPr>
        <w:pStyle w:val="ListParagraph"/>
        <w:numPr>
          <w:ilvl w:val="0"/>
          <w:numId w:val="2"/>
        </w:numPr>
        <w:spacing w:after="40"/>
      </w:pPr>
      <w:r>
        <w:rPr>
          <w:color w:val="595959"/>
          <w:sz w:val="20"/>
          <w:szCs w:val="20"/>
        </w:rPr>
        <w:t xml:space="preserve">Scope-document met onderzoeksvragen</w:t>
      </w:r>
    </w:p>
    <w:p>
      <w:pPr>
        <w:pStyle w:val="ListParagraph"/>
        <w:numPr>
          <w:ilvl w:val="0"/>
          <w:numId w:val="2"/>
        </w:numPr>
        <w:spacing w:after="40"/>
      </w:pPr>
      <w:r>
        <w:rPr>
          <w:color w:val="595959"/>
          <w:sz w:val="20"/>
          <w:szCs w:val="20"/>
        </w:rPr>
        <w:t xml:space="preserve">Adviseur geselecteerd</w:t>
      </w:r>
    </w:p>
    <w:p>
      <w:pPr>
        <w:pStyle w:val="ListParagraph"/>
        <w:numPr>
          <w:ilvl w:val="0"/>
          <w:numId w:val="2"/>
        </w:numPr>
        <w:spacing w:after="40"/>
      </w:pPr>
      <w:r>
        <w:rPr>
          <w:color w:val="595959"/>
          <w:sz w:val="20"/>
          <w:szCs w:val="20"/>
        </w:rPr>
        <w:t xml:space="preserve">Tijdslijn vastgesteld</w:t>
      </w:r>
    </w:p>
    <w:p>
      <w:pPr>
        <w:spacing w:after="60" w:before="120"/>
      </w:pPr>
      <w:r>
        <w:rPr>
          <w:b/>
          <w:bCs/>
          <w:sz w:val="22"/>
          <w:szCs w:val="22"/>
        </w:rPr>
        <w:t xml:space="preserve">2. Inventarisatie en data-aanlevering</w:t>
      </w:r>
      <w:r>
        <w:rPr>
          <w:b/>
          <w:bCs/>
          <w:color w:val="0F2744"/>
          <w:sz w:val="18"/>
          <w:szCs w:val="18"/>
        </w:rPr>
        <w:t xml:space="preserve"> [bewijs vereist]</w:t>
      </w:r>
    </w:p>
    <w:p>
      <w:pPr>
        <w:spacing w:after="60"/>
        <w:ind w:left="360"/>
      </w:pPr>
      <w:r>
        <w:rPr>
          <w:sz w:val="21"/>
          <w:szCs w:val="21"/>
        </w:rPr>
        <w:t xml:space="preserve">Aanlevering deelnemersbestand, technische voorzieningen, huidige portefeuille en risicokader aan de adviseur.</w:t>
      </w:r>
    </w:p>
    <w:p>
      <w:pPr>
        <w:pStyle w:val="ListParagraph"/>
        <w:numPr>
          <w:ilvl w:val="0"/>
          <w:numId w:val="2"/>
        </w:numPr>
        <w:spacing w:after="40"/>
      </w:pPr>
      <w:r>
        <w:rPr>
          <w:color w:val="595959"/>
          <w:sz w:val="20"/>
          <w:szCs w:val="20"/>
        </w:rPr>
        <w:t xml:space="preserve">Datapakket aangeleverd</w:t>
      </w:r>
    </w:p>
    <w:p>
      <w:pPr>
        <w:pStyle w:val="ListParagraph"/>
        <w:numPr>
          <w:ilvl w:val="0"/>
          <w:numId w:val="2"/>
        </w:numPr>
        <w:spacing w:after="40"/>
      </w:pPr>
      <w:r>
        <w:rPr>
          <w:color w:val="595959"/>
          <w:sz w:val="20"/>
          <w:szCs w:val="20"/>
        </w:rPr>
        <w:t xml:space="preserve">Datakwaliteitstoets afgerond</w:t>
      </w:r>
    </w:p>
    <w:p>
      <w:pPr>
        <w:spacing w:after="60" w:before="120"/>
      </w:pPr>
      <w:r>
        <w:rPr>
          <w:b/>
          <w:bCs/>
          <w:sz w:val="22"/>
          <w:szCs w:val="22"/>
        </w:rPr>
        <w:t xml:space="preserve">3. Scenario-modellering en alternatieven</w:t>
      </w:r>
      <w:r>
        <w:rPr>
          <w:b/>
          <w:bCs/>
          <w:color w:val="0F2744"/>
          <w:sz w:val="18"/>
          <w:szCs w:val="18"/>
        </w:rPr>
        <w:t xml:space="preserve"> [bewijs vereist]</w:t>
      </w:r>
    </w:p>
    <w:p>
      <w:pPr>
        <w:spacing w:after="60"/>
        <w:ind w:left="360"/>
      </w:pPr>
      <w:r>
        <w:rPr>
          <w:sz w:val="21"/>
          <w:szCs w:val="21"/>
        </w:rPr>
        <w:t xml:space="preserve">Adviseur model pakket scenario's en strategische varianten, met output op risico- en rendementsverwachting per cohort.</w:t>
      </w:r>
    </w:p>
    <w:p>
      <w:pPr>
        <w:pStyle w:val="ListParagraph"/>
        <w:numPr>
          <w:ilvl w:val="0"/>
          <w:numId w:val="2"/>
        </w:numPr>
        <w:spacing w:after="40"/>
      </w:pPr>
      <w:r>
        <w:rPr>
          <w:color w:val="595959"/>
          <w:sz w:val="20"/>
          <w:szCs w:val="20"/>
        </w:rPr>
        <w:t xml:space="preserve">Scenario-resultaten gerapporteerd</w:t>
      </w:r>
    </w:p>
    <w:p>
      <w:pPr>
        <w:pStyle w:val="ListParagraph"/>
        <w:numPr>
          <w:ilvl w:val="0"/>
          <w:numId w:val="2"/>
        </w:numPr>
        <w:spacing w:after="40"/>
      </w:pPr>
      <w:r>
        <w:rPr>
          <w:color w:val="595959"/>
          <w:sz w:val="20"/>
          <w:szCs w:val="20"/>
        </w:rPr>
        <w:t xml:space="preserve">Vergelijking met huidige strategie</w:t>
      </w:r>
    </w:p>
    <w:p>
      <w:pPr>
        <w:pStyle w:val="ListParagraph"/>
        <w:numPr>
          <w:ilvl w:val="0"/>
          <w:numId w:val="2"/>
        </w:numPr>
        <w:spacing w:after="40"/>
      </w:pPr>
      <w:r>
        <w:rPr>
          <w:color w:val="595959"/>
          <w:sz w:val="20"/>
          <w:szCs w:val="20"/>
        </w:rPr>
        <w:t xml:space="preserve">Sensitiviteitsanalyse</w:t>
      </w:r>
    </w:p>
    <w:p>
      <w:pPr>
        <w:spacing w:after="60" w:before="120"/>
      </w:pPr>
      <w:r>
        <w:rPr>
          <w:b/>
          <w:bCs/>
          <w:sz w:val="22"/>
          <w:szCs w:val="22"/>
        </w:rPr>
        <w:t xml:space="preserve">4. Bespreking en strategische heroverweging</w:t>
      </w:r>
      <w:r>
        <w:rPr>
          <w:b/>
          <w:bCs/>
          <w:color w:val="0F2744"/>
          <w:sz w:val="18"/>
          <w:szCs w:val="18"/>
        </w:rPr>
        <w:t xml:space="preserve"> [bewijs vereist]</w:t>
      </w:r>
    </w:p>
    <w:p>
      <w:pPr>
        <w:spacing w:after="60"/>
        <w:ind w:left="360"/>
      </w:pPr>
      <w:r>
        <w:rPr>
          <w:sz w:val="21"/>
          <w:szCs w:val="21"/>
        </w:rPr>
        <w:t xml:space="preserve">Bestuur bespreekt resultaten over meerdere sessies, betrokkenheid van risk- en beleggingscommissie.</w:t>
      </w:r>
    </w:p>
    <w:p>
      <w:pPr>
        <w:pStyle w:val="ListParagraph"/>
        <w:numPr>
          <w:ilvl w:val="0"/>
          <w:numId w:val="2"/>
        </w:numPr>
        <w:spacing w:after="40"/>
      </w:pPr>
      <w:r>
        <w:rPr>
          <w:color w:val="595959"/>
          <w:sz w:val="20"/>
          <w:szCs w:val="20"/>
        </w:rPr>
        <w:t xml:space="preserve">Vergaderverslagen ALM-besprekingen</w:t>
      </w:r>
    </w:p>
    <w:p>
      <w:pPr>
        <w:pStyle w:val="ListParagraph"/>
        <w:numPr>
          <w:ilvl w:val="0"/>
          <w:numId w:val="2"/>
        </w:numPr>
        <w:spacing w:after="40"/>
      </w:pPr>
      <w:r>
        <w:rPr>
          <w:color w:val="595959"/>
          <w:sz w:val="20"/>
          <w:szCs w:val="20"/>
        </w:rPr>
        <w:t xml:space="preserve">Voorlopige voorkeursvariant</w:t>
      </w:r>
    </w:p>
    <w:p>
      <w:pPr>
        <w:spacing w:after="60" w:before="120"/>
      </w:pPr>
      <w:r>
        <w:rPr>
          <w:b/>
          <w:bCs/>
          <w:sz w:val="22"/>
          <w:szCs w:val="22"/>
        </w:rPr>
        <w:t xml:space="preserve">5. Besluit strategische portefeuille</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Formeel besluit over nieuwe strategische assetallocatie, hedge-beleid en risicobudgetten.</w:t>
      </w:r>
    </w:p>
    <w:p>
      <w:pPr>
        <w:pStyle w:val="ListParagraph"/>
        <w:numPr>
          <w:ilvl w:val="0"/>
          <w:numId w:val="2"/>
        </w:numPr>
        <w:spacing w:after="40"/>
      </w:pPr>
      <w:r>
        <w:rPr>
          <w:color w:val="595959"/>
          <w:sz w:val="20"/>
          <w:szCs w:val="20"/>
        </w:rPr>
        <w:t xml:space="preserve">Besluitdocument met motivering</w:t>
      </w:r>
    </w:p>
    <w:p>
      <w:pPr>
        <w:pStyle w:val="ListParagraph"/>
        <w:numPr>
          <w:ilvl w:val="0"/>
          <w:numId w:val="2"/>
        </w:numPr>
        <w:spacing w:after="40"/>
      </w:pPr>
      <w:r>
        <w:rPr>
          <w:color w:val="595959"/>
          <w:sz w:val="20"/>
          <w:szCs w:val="20"/>
        </w:rPr>
        <w:t xml:space="preserve">Aanpassingen in ABTN ingepland</w:t>
      </w:r>
    </w:p>
    <w:p>
      <w:pPr>
        <w:pStyle w:val="ListParagraph"/>
        <w:numPr>
          <w:ilvl w:val="0"/>
          <w:numId w:val="2"/>
        </w:numPr>
        <w:spacing w:after="40"/>
      </w:pPr>
      <w:r>
        <w:rPr>
          <w:color w:val="595959"/>
          <w:sz w:val="20"/>
          <w:szCs w:val="20"/>
        </w:rPr>
        <w:t xml:space="preserve">Communicatie naar uitvoerder</w:t>
      </w:r>
    </w:p>
    <w:p>
      <w:pPr>
        <w:spacing w:after="100" w:before="240"/>
      </w:pPr>
      <w:r>
        <w:rPr>
          <w:b/>
          <w:bCs/>
          <w:color w:val="0F2744"/>
          <w:sz w:val="24"/>
          <w:szCs w:val="24"/>
        </w:rPr>
        <w:t xml:space="preserve">Aandachtspunten en typische valkuilen</w:t>
      </w:r>
    </w:p>
    <w:p>
      <w:pPr>
        <w:spacing w:after="320"/>
      </w:pPr>
      <w:r>
        <w:rPr>
          <w:i/>
          <w:iCs/>
          <w:sz w:val="22"/>
          <w:szCs w:val="22"/>
        </w:rPr>
        <w:t xml:space="preserve">ALM-studies leveren vaak overweldigende hoeveelheden output. De meest waardevolle bestuurssessie is niet die waar het rapport wordt gepresenteerd, maar die waar de bestuursleden zelf de scenario's kunnen ondervragen. Plan voldoende ruimte in voor inhoudelijke discussie zonder de adviseur in de zaal — dat scheidt informatie-overdracht van besluitvorming.</w:t>
      </w:r>
    </w:p>
    <w:p>
      <w:pPr>
        <w:pStyle w:val="Heading2"/>
      </w:pPr>
      <w:r>
        <w:t xml:space="preserve">Geschiktheidstoetsing nieuwe bestuurder</w:t>
      </w:r>
    </w:p>
    <w:p>
      <w:pPr>
        <w:spacing w:after="200"/>
      </w:pPr>
      <w:r>
        <w:rPr>
          <w:sz w:val="22"/>
          <w:szCs w:val="22"/>
        </w:rPr>
        <w:t xml:space="preserve">DNB toetst elke nieuwe bestuurder en ook iedere herbenoemde bestuurder op geschiktheid en betrouwbaarheid. Het traject vraagt zorgvuldige dossiervorming, gesprekken en formele indiening. Tijdige start is belangrijk omdat de procedure vaak langer duurt dan verwacht.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Voorgenomen benoeming, herbenoeming, of materiële functiewijziging</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 aanleiding (gemiddeld 1-3 keer per jaar bij actief fonds)</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met formele rol voor voorzitter en secretaris</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8-16 weken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Pensioenwet art. 105-106, Beleidsregel Geschiktheid DNB en AFM, Beleidsregel Betrouwbaarheid</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Werving en eerste profielmatch</w:t>
      </w:r>
      <w:r>
        <w:rPr>
          <w:b/>
          <w:bCs/>
          <w:color w:val="0F2744"/>
          <w:sz w:val="18"/>
          <w:szCs w:val="18"/>
        </w:rPr>
        <w:t xml:space="preserve"> [bewijs vereist]</w:t>
      </w:r>
    </w:p>
    <w:p>
      <w:pPr>
        <w:spacing w:after="60"/>
        <w:ind w:left="360"/>
      </w:pPr>
      <w:r>
        <w:rPr>
          <w:sz w:val="21"/>
          <w:szCs w:val="21"/>
        </w:rPr>
        <w:t xml:space="preserve">Werving op basis van geactualiseerd profiel, eerste interne afweging tegen de geschiktheidsmatrix van het bestuur als geheel.</w:t>
      </w:r>
    </w:p>
    <w:p>
      <w:pPr>
        <w:pStyle w:val="ListParagraph"/>
        <w:numPr>
          <w:ilvl w:val="0"/>
          <w:numId w:val="2"/>
        </w:numPr>
        <w:spacing w:after="40"/>
      </w:pPr>
      <w:r>
        <w:rPr>
          <w:color w:val="595959"/>
          <w:sz w:val="20"/>
          <w:szCs w:val="20"/>
        </w:rPr>
        <w:t xml:space="preserve">Profielschets actueel</w:t>
      </w:r>
    </w:p>
    <w:p>
      <w:pPr>
        <w:pStyle w:val="ListParagraph"/>
        <w:numPr>
          <w:ilvl w:val="0"/>
          <w:numId w:val="2"/>
        </w:numPr>
        <w:spacing w:after="40"/>
      </w:pPr>
      <w:r>
        <w:rPr>
          <w:color w:val="595959"/>
          <w:sz w:val="20"/>
          <w:szCs w:val="20"/>
        </w:rPr>
        <w:t xml:space="preserve">Aansluiting op bestuurmatrix gedocumenteerd</w:t>
      </w:r>
    </w:p>
    <w:p>
      <w:pPr>
        <w:spacing w:after="60" w:before="120"/>
      </w:pPr>
      <w:r>
        <w:rPr>
          <w:b/>
          <w:bCs/>
          <w:sz w:val="22"/>
          <w:szCs w:val="22"/>
        </w:rPr>
        <w:t xml:space="preserve">2. Inhoudelijke gesprekken en referenties</w:t>
      </w:r>
      <w:r>
        <w:rPr>
          <w:b/>
          <w:bCs/>
          <w:color w:val="0F2744"/>
          <w:sz w:val="18"/>
          <w:szCs w:val="18"/>
        </w:rPr>
        <w:t xml:space="preserve"> [bewijs vereist]</w:t>
      </w:r>
    </w:p>
    <w:p>
      <w:pPr>
        <w:spacing w:after="60"/>
        <w:ind w:left="360"/>
      </w:pPr>
      <w:r>
        <w:rPr>
          <w:sz w:val="21"/>
          <w:szCs w:val="21"/>
        </w:rPr>
        <w:t xml:space="preserve">Selectiegesprekken met bestuur, eventuele commissie. Referentiegesprekken op werkverleden.</w:t>
      </w:r>
    </w:p>
    <w:p>
      <w:pPr>
        <w:pStyle w:val="ListParagraph"/>
        <w:numPr>
          <w:ilvl w:val="0"/>
          <w:numId w:val="2"/>
        </w:numPr>
        <w:spacing w:after="40"/>
      </w:pPr>
      <w:r>
        <w:rPr>
          <w:color w:val="595959"/>
          <w:sz w:val="20"/>
          <w:szCs w:val="20"/>
        </w:rPr>
        <w:t xml:space="preserve">Gespreksverslagen</w:t>
      </w:r>
    </w:p>
    <w:p>
      <w:pPr>
        <w:pStyle w:val="ListParagraph"/>
        <w:numPr>
          <w:ilvl w:val="0"/>
          <w:numId w:val="2"/>
        </w:numPr>
        <w:spacing w:after="40"/>
      </w:pPr>
      <w:r>
        <w:rPr>
          <w:color w:val="595959"/>
          <w:sz w:val="20"/>
          <w:szCs w:val="20"/>
        </w:rPr>
        <w:t xml:space="preserve">Referenties opgenomen en vastgelegd</w:t>
      </w:r>
    </w:p>
    <w:p>
      <w:pPr>
        <w:spacing w:after="60" w:before="120"/>
      </w:pPr>
      <w:r>
        <w:rPr>
          <w:b/>
          <w:bCs/>
          <w:sz w:val="22"/>
          <w:szCs w:val="22"/>
        </w:rPr>
        <w:t xml:space="preserve">3. Voorgenomen benoemingsbesluit</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neemt voorgenomen benoemingsbesluit, op basis waarvan het DNB-dossier wordt opgebouwd.</w:t>
      </w:r>
    </w:p>
    <w:p>
      <w:pPr>
        <w:pStyle w:val="ListParagraph"/>
        <w:numPr>
          <w:ilvl w:val="0"/>
          <w:numId w:val="2"/>
        </w:numPr>
        <w:spacing w:after="40"/>
      </w:pPr>
      <w:r>
        <w:rPr>
          <w:color w:val="595959"/>
          <w:sz w:val="20"/>
          <w:szCs w:val="20"/>
        </w:rPr>
        <w:t xml:space="preserve">Voorgenomen besluit vastgelegd</w:t>
      </w:r>
    </w:p>
    <w:p>
      <w:pPr>
        <w:pStyle w:val="ListParagraph"/>
        <w:numPr>
          <w:ilvl w:val="0"/>
          <w:numId w:val="2"/>
        </w:numPr>
        <w:spacing w:after="40"/>
      </w:pPr>
      <w:r>
        <w:rPr>
          <w:color w:val="595959"/>
          <w:sz w:val="20"/>
          <w:szCs w:val="20"/>
        </w:rPr>
        <w:t xml:space="preserve">Verantwoordingsorgaan geïnformeerd waar van toepassing</w:t>
      </w:r>
    </w:p>
    <w:p>
      <w:pPr>
        <w:spacing w:after="60" w:before="120"/>
      </w:pPr>
      <w:r>
        <w:rPr>
          <w:b/>
          <w:bCs/>
          <w:sz w:val="22"/>
          <w:szCs w:val="22"/>
        </w:rPr>
        <w:t xml:space="preserve">4. Dossieropbouw en indiening DNB</w:t>
      </w:r>
      <w:r>
        <w:rPr>
          <w:b/>
          <w:bCs/>
          <w:color w:val="0F2744"/>
          <w:sz w:val="18"/>
          <w:szCs w:val="18"/>
        </w:rPr>
        <w:t xml:space="preserve"> [bewijs vereist]</w:t>
      </w:r>
    </w:p>
    <w:p>
      <w:pPr>
        <w:spacing w:after="60"/>
        <w:ind w:left="360"/>
      </w:pPr>
      <w:r>
        <w:rPr>
          <w:sz w:val="21"/>
          <w:szCs w:val="21"/>
        </w:rPr>
        <w:t xml:space="preserve">Volledig dossier samenstellen: VOG, CV, geschiktheidsbewijs per competentie, bestuursprofiel, relevante verklaringen. Indiening via DNB-portaal.</w:t>
      </w:r>
    </w:p>
    <w:p>
      <w:pPr>
        <w:pStyle w:val="ListParagraph"/>
        <w:numPr>
          <w:ilvl w:val="0"/>
          <w:numId w:val="2"/>
        </w:numPr>
        <w:spacing w:after="40"/>
      </w:pPr>
      <w:r>
        <w:rPr>
          <w:color w:val="595959"/>
          <w:sz w:val="20"/>
          <w:szCs w:val="20"/>
        </w:rPr>
        <w:t xml:space="preserve">VOG aanwezig</w:t>
      </w:r>
    </w:p>
    <w:p>
      <w:pPr>
        <w:pStyle w:val="ListParagraph"/>
        <w:numPr>
          <w:ilvl w:val="0"/>
          <w:numId w:val="2"/>
        </w:numPr>
        <w:spacing w:after="40"/>
      </w:pPr>
      <w:r>
        <w:rPr>
          <w:color w:val="595959"/>
          <w:sz w:val="20"/>
          <w:szCs w:val="20"/>
        </w:rPr>
        <w:t xml:space="preserve">CV en geschiktheidsbewijzen</w:t>
      </w:r>
    </w:p>
    <w:p>
      <w:pPr>
        <w:pStyle w:val="ListParagraph"/>
        <w:numPr>
          <w:ilvl w:val="0"/>
          <w:numId w:val="2"/>
        </w:numPr>
        <w:spacing w:after="40"/>
      </w:pPr>
      <w:r>
        <w:rPr>
          <w:color w:val="595959"/>
          <w:sz w:val="20"/>
          <w:szCs w:val="20"/>
        </w:rPr>
        <w:t xml:space="preserve">Indiening DNB bevestigd</w:t>
      </w:r>
    </w:p>
    <w:p>
      <w:pPr>
        <w:spacing w:after="60" w:before="120"/>
      </w:pPr>
      <w:r>
        <w:rPr>
          <w:b/>
          <w:bCs/>
          <w:sz w:val="22"/>
          <w:szCs w:val="22"/>
        </w:rPr>
        <w:t xml:space="preserve">5. DNB-gesprek en aanvullende informatie</w:t>
      </w:r>
      <w:r>
        <w:rPr>
          <w:b/>
          <w:bCs/>
          <w:color w:val="0F2744"/>
          <w:sz w:val="18"/>
          <w:szCs w:val="18"/>
        </w:rPr>
        <w:t xml:space="preserve"> [bewijs vereist]</w:t>
      </w:r>
    </w:p>
    <w:p>
      <w:pPr>
        <w:spacing w:after="60"/>
        <w:ind w:left="360"/>
      </w:pPr>
      <w:r>
        <w:rPr>
          <w:sz w:val="21"/>
          <w:szCs w:val="21"/>
        </w:rPr>
        <w:t xml:space="preserve">Doorgaans voert DNB een gesprek met de kandidaat. Aanvullende vragen worden binnen termijn beantwoord.</w:t>
      </w:r>
    </w:p>
    <w:p>
      <w:pPr>
        <w:pStyle w:val="ListParagraph"/>
        <w:numPr>
          <w:ilvl w:val="0"/>
          <w:numId w:val="2"/>
        </w:numPr>
        <w:spacing w:after="40"/>
      </w:pPr>
      <w:r>
        <w:rPr>
          <w:color w:val="595959"/>
          <w:sz w:val="20"/>
          <w:szCs w:val="20"/>
        </w:rPr>
        <w:t xml:space="preserve">Gesprek met DNB gepland en gevoerd</w:t>
      </w:r>
    </w:p>
    <w:p>
      <w:pPr>
        <w:pStyle w:val="ListParagraph"/>
        <w:numPr>
          <w:ilvl w:val="0"/>
          <w:numId w:val="2"/>
        </w:numPr>
        <w:spacing w:after="40"/>
      </w:pPr>
      <w:r>
        <w:rPr>
          <w:color w:val="595959"/>
          <w:sz w:val="20"/>
          <w:szCs w:val="20"/>
        </w:rPr>
        <w:t xml:space="preserve">Aanvullende vragen beantwoord</w:t>
      </w:r>
    </w:p>
    <w:p>
      <w:pPr>
        <w:spacing w:after="60" w:before="120"/>
      </w:pPr>
      <w:r>
        <w:rPr>
          <w:b/>
          <w:bCs/>
          <w:sz w:val="22"/>
          <w:szCs w:val="22"/>
        </w:rPr>
        <w:t xml:space="preserve">6. Goedkeuring en formele benoeming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Na goedkeuring DNB volgt formele benoeming, inschrijving KvK, onboarding en commitment op gedragscode.</w:t>
      </w:r>
    </w:p>
    <w:p>
      <w:pPr>
        <w:pStyle w:val="ListParagraph"/>
        <w:numPr>
          <w:ilvl w:val="0"/>
          <w:numId w:val="2"/>
        </w:numPr>
        <w:spacing w:after="40"/>
      </w:pPr>
      <w:r>
        <w:rPr>
          <w:color w:val="595959"/>
          <w:sz w:val="20"/>
          <w:szCs w:val="20"/>
        </w:rPr>
        <w:t xml:space="preserve">Goedkeuringsbrief DNB</w:t>
      </w:r>
    </w:p>
    <w:p>
      <w:pPr>
        <w:pStyle w:val="ListParagraph"/>
        <w:numPr>
          <w:ilvl w:val="0"/>
          <w:numId w:val="2"/>
        </w:numPr>
        <w:spacing w:after="40"/>
      </w:pPr>
      <w:r>
        <w:rPr>
          <w:color w:val="595959"/>
          <w:sz w:val="20"/>
          <w:szCs w:val="20"/>
        </w:rPr>
        <w:t xml:space="preserve">KvK-inschrijving aangepast</w:t>
      </w:r>
    </w:p>
    <w:p>
      <w:pPr>
        <w:pStyle w:val="ListParagraph"/>
        <w:numPr>
          <w:ilvl w:val="0"/>
          <w:numId w:val="2"/>
        </w:numPr>
        <w:spacing w:after="40"/>
      </w:pPr>
      <w:r>
        <w:rPr>
          <w:color w:val="595959"/>
          <w:sz w:val="20"/>
          <w:szCs w:val="20"/>
        </w:rPr>
        <w:t xml:space="preserve">Onboarding-plan gevolgd</w:t>
      </w:r>
    </w:p>
    <w:p>
      <w:pPr>
        <w:spacing w:after="100" w:before="240"/>
      </w:pPr>
      <w:r>
        <w:rPr>
          <w:b/>
          <w:bCs/>
          <w:color w:val="0F2744"/>
          <w:sz w:val="24"/>
          <w:szCs w:val="24"/>
        </w:rPr>
        <w:t xml:space="preserve">Aandachtspunten en typische valkuilen</w:t>
      </w:r>
    </w:p>
    <w:p>
      <w:pPr>
        <w:spacing w:after="320"/>
      </w:pPr>
      <w:r>
        <w:rPr>
          <w:i/>
          <w:iCs/>
          <w:sz w:val="22"/>
          <w:szCs w:val="22"/>
        </w:rPr>
        <w:t xml:space="preserve">De doorlooptijd wordt vaak onderschat. Begin het traject minimaal vier maanden voor de gewenste benoemingsdatum. Een DNB-gesprek dat tegenvalt leidt zelden tot directe afwijzing maar vaak tot uitstel met aanvullende eisen — plan daarvoor een buffer.</w:t>
      </w:r>
    </w:p>
    <w:p>
      <w:r>
        <w:br w:type="page"/>
      </w:r>
    </w:p>
    <w:p>
      <w:pPr>
        <w:pStyle w:val="Heading1"/>
      </w:pPr>
      <w:r>
        <w:t xml:space="preserve">Verzekeraars</w:t>
      </w:r>
    </w:p>
    <w:p>
      <w:pPr>
        <w:spacing w:after="240"/>
      </w:pPr>
      <w:r>
        <w:rPr>
          <w:sz w:val="22"/>
          <w:szCs w:val="22"/>
        </w:rPr>
        <w:t xml:space="preserve">Solvency II en de Insurance Distribution Directive bepalen het grootste deel van het procedurelandschap. Daarnaast Wwft voor levensverzekeraars en sancties-regimes voor allemaal. De Raad van Bestuur doet operationele besluitvorming, de Raad van Commissarissen doet toezicht en goedkeuring boven drempels. De acht uitgewerkte procedures dekken zowel doorlopende kerncycli als incidentele, hoog-impact besluiten.</w:t>
      </w:r>
    </w:p>
    <w:p>
      <w:pPr>
        <w:pStyle w:val="Heading2"/>
      </w:pPr>
      <w:r>
        <w:t xml:space="preserve">Productontwikkeling en -goedkeuring (POG)</w:t>
      </w:r>
    </w:p>
    <w:p>
      <w:pPr>
        <w:spacing w:after="200"/>
      </w:pPr>
      <w:r>
        <w:rPr>
          <w:sz w:val="22"/>
          <w:szCs w:val="22"/>
        </w:rPr>
        <w:t xml:space="preserve">De Insurance Distribution Directive (IDD) verplicht verzekeraars elke nieuwe of materieel gewijzigde verzekering te onderwerpen aan een productontwikkelings- en goedkeuringsproces. De doelgroep moet vooraf worden gedefinieerd, distributiekanalen daarop worden afgestemd, en het product periodiek worden gereviewd.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Nieuw productidee of materiële wijziging bestaand product</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Continu; periodieke review elke 1-2 jaar per product</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RvB / directie, op voorstel productontwikkeling met inhoudelijke rol risk en compliance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3-9 maanden voor nieuwe producten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IDD (richtlijn 2016/97), Wft, Bpr, EIOPA POG-richtsnoeren</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Productinitiatie en doelgroepanalyse</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Definitie van het productidee, doelgroep, behoefte-onderbouwing en niet-doelgroep (negative target market).</w:t>
      </w:r>
    </w:p>
    <w:p>
      <w:pPr>
        <w:pStyle w:val="ListParagraph"/>
        <w:numPr>
          <w:ilvl w:val="0"/>
          <w:numId w:val="2"/>
        </w:numPr>
        <w:spacing w:after="40"/>
      </w:pPr>
      <w:r>
        <w:rPr>
          <w:color w:val="595959"/>
          <w:sz w:val="20"/>
          <w:szCs w:val="20"/>
        </w:rPr>
        <w:t xml:space="preserve">Doelgroepdefinitie en niet-doelgroep</w:t>
      </w:r>
    </w:p>
    <w:p>
      <w:pPr>
        <w:pStyle w:val="ListParagraph"/>
        <w:numPr>
          <w:ilvl w:val="0"/>
          <w:numId w:val="2"/>
        </w:numPr>
        <w:spacing w:after="40"/>
      </w:pPr>
      <w:r>
        <w:rPr>
          <w:color w:val="595959"/>
          <w:sz w:val="20"/>
          <w:szCs w:val="20"/>
        </w:rPr>
        <w:t xml:space="preserve">Marktbehoefte-onderbouwing</w:t>
      </w:r>
    </w:p>
    <w:p>
      <w:pPr>
        <w:pStyle w:val="ListParagraph"/>
        <w:numPr>
          <w:ilvl w:val="0"/>
          <w:numId w:val="2"/>
        </w:numPr>
        <w:spacing w:after="40"/>
      </w:pPr>
      <w:r>
        <w:rPr>
          <w:color w:val="595959"/>
          <w:sz w:val="20"/>
          <w:szCs w:val="20"/>
        </w:rPr>
        <w:t xml:space="preserve">Concept productspecificatie</w:t>
      </w:r>
    </w:p>
    <w:p>
      <w:pPr>
        <w:spacing w:after="60" w:before="120"/>
      </w:pPr>
      <w:r>
        <w:rPr>
          <w:b/>
          <w:bCs/>
          <w:sz w:val="22"/>
          <w:szCs w:val="22"/>
        </w:rPr>
        <w:t xml:space="preserve">2. Actuariële en risicobeoordeling</w:t>
      </w:r>
      <w:r>
        <w:rPr>
          <w:b/>
          <w:bCs/>
          <w:color w:val="0F2744"/>
          <w:sz w:val="18"/>
          <w:szCs w:val="18"/>
        </w:rPr>
        <w:t xml:space="preserve"> [bewijs vereist]</w:t>
      </w:r>
    </w:p>
    <w:p>
      <w:pPr>
        <w:spacing w:after="60"/>
        <w:ind w:left="360"/>
      </w:pPr>
      <w:r>
        <w:rPr>
          <w:sz w:val="21"/>
          <w:szCs w:val="21"/>
        </w:rPr>
        <w:t xml:space="preserve">Tarifering, kapitaalbeslag onder Solvency II, herverzekeringsstrategie, juridische toetsing.</w:t>
      </w:r>
    </w:p>
    <w:p>
      <w:pPr>
        <w:pStyle w:val="ListParagraph"/>
        <w:numPr>
          <w:ilvl w:val="0"/>
          <w:numId w:val="2"/>
        </w:numPr>
        <w:spacing w:after="40"/>
      </w:pPr>
      <w:r>
        <w:rPr>
          <w:color w:val="595959"/>
          <w:sz w:val="20"/>
          <w:szCs w:val="20"/>
        </w:rPr>
        <w:t xml:space="preserve">Actuarieel rapport met tarief-onderbouwing</w:t>
      </w:r>
    </w:p>
    <w:p>
      <w:pPr>
        <w:pStyle w:val="ListParagraph"/>
        <w:numPr>
          <w:ilvl w:val="0"/>
          <w:numId w:val="2"/>
        </w:numPr>
        <w:spacing w:after="40"/>
      </w:pPr>
      <w:r>
        <w:rPr>
          <w:color w:val="595959"/>
          <w:sz w:val="20"/>
          <w:szCs w:val="20"/>
        </w:rPr>
        <w:t xml:space="preserve">SCR-impact-analyse</w:t>
      </w:r>
    </w:p>
    <w:p>
      <w:pPr>
        <w:pStyle w:val="ListParagraph"/>
        <w:numPr>
          <w:ilvl w:val="0"/>
          <w:numId w:val="2"/>
        </w:numPr>
        <w:spacing w:after="40"/>
      </w:pPr>
      <w:r>
        <w:rPr>
          <w:color w:val="595959"/>
          <w:sz w:val="20"/>
          <w:szCs w:val="20"/>
        </w:rPr>
        <w:t xml:space="preserve">Juridische review polisvoorwaarden</w:t>
      </w:r>
    </w:p>
    <w:p>
      <w:pPr>
        <w:spacing w:after="60" w:before="120"/>
      </w:pPr>
      <w:r>
        <w:rPr>
          <w:b/>
          <w:bCs/>
          <w:sz w:val="22"/>
          <w:szCs w:val="22"/>
        </w:rPr>
        <w:t xml:space="preserve">3. Distributiestrategie en stresstest</w:t>
      </w:r>
      <w:r>
        <w:rPr>
          <w:b/>
          <w:bCs/>
          <w:color w:val="0F2744"/>
          <w:sz w:val="18"/>
          <w:szCs w:val="18"/>
        </w:rPr>
        <w:t xml:space="preserve"> [bewijs vereist]</w:t>
      </w:r>
    </w:p>
    <w:p>
      <w:pPr>
        <w:spacing w:after="60"/>
        <w:ind w:left="360"/>
      </w:pPr>
      <w:r>
        <w:rPr>
          <w:sz w:val="21"/>
          <w:szCs w:val="21"/>
        </w:rPr>
        <w:t xml:space="preserve">Geschikte distributiekanalen, kostenstructuur, scenario-analyse onder verschillende marktomstandigheden.</w:t>
      </w:r>
    </w:p>
    <w:p>
      <w:pPr>
        <w:pStyle w:val="ListParagraph"/>
        <w:numPr>
          <w:ilvl w:val="0"/>
          <w:numId w:val="2"/>
        </w:numPr>
        <w:spacing w:after="40"/>
      </w:pPr>
      <w:r>
        <w:rPr>
          <w:color w:val="595959"/>
          <w:sz w:val="20"/>
          <w:szCs w:val="20"/>
        </w:rPr>
        <w:t xml:space="preserve">Distributiestrategie met geschikte kanalen</w:t>
      </w:r>
    </w:p>
    <w:p>
      <w:pPr>
        <w:pStyle w:val="ListParagraph"/>
        <w:numPr>
          <w:ilvl w:val="0"/>
          <w:numId w:val="2"/>
        </w:numPr>
        <w:spacing w:after="40"/>
      </w:pPr>
      <w:r>
        <w:rPr>
          <w:color w:val="595959"/>
          <w:sz w:val="20"/>
          <w:szCs w:val="20"/>
        </w:rPr>
        <w:t xml:space="preserve">Kosten- en provisie-structuur</w:t>
      </w:r>
    </w:p>
    <w:p>
      <w:pPr>
        <w:pStyle w:val="ListParagraph"/>
        <w:numPr>
          <w:ilvl w:val="0"/>
          <w:numId w:val="2"/>
        </w:numPr>
        <w:spacing w:after="40"/>
      </w:pPr>
      <w:r>
        <w:rPr>
          <w:color w:val="595959"/>
          <w:sz w:val="20"/>
          <w:szCs w:val="20"/>
        </w:rPr>
        <w:t xml:space="preserve">Stresstest-resultaten</w:t>
      </w:r>
    </w:p>
    <w:p>
      <w:pPr>
        <w:spacing w:after="60" w:before="120"/>
      </w:pPr>
      <w:r>
        <w:rPr>
          <w:b/>
          <w:bCs/>
          <w:sz w:val="22"/>
          <w:szCs w:val="22"/>
        </w:rPr>
        <w:t xml:space="preserve">4. Compliance- en risk-toets</w:t>
      </w:r>
      <w:r>
        <w:rPr>
          <w:b/>
          <w:bCs/>
          <w:color w:val="0F2744"/>
          <w:sz w:val="18"/>
          <w:szCs w:val="18"/>
        </w:rPr>
        <w:t xml:space="preserve"> [bewijs vereist]</w:t>
      </w:r>
    </w:p>
    <w:p>
      <w:pPr>
        <w:spacing w:after="60"/>
        <w:ind w:left="360"/>
      </w:pPr>
      <w:r>
        <w:rPr>
          <w:sz w:val="21"/>
          <w:szCs w:val="21"/>
        </w:rPr>
        <w:t xml:space="preserve">Onafhankelijke toets vanuit compliance en risk op alle aspecten — productdesign, distributie, communicatie.</w:t>
      </w:r>
    </w:p>
    <w:p>
      <w:pPr>
        <w:pStyle w:val="ListParagraph"/>
        <w:numPr>
          <w:ilvl w:val="0"/>
          <w:numId w:val="2"/>
        </w:numPr>
        <w:spacing w:after="40"/>
      </w:pPr>
      <w:r>
        <w:rPr>
          <w:color w:val="595959"/>
          <w:sz w:val="20"/>
          <w:szCs w:val="20"/>
        </w:rPr>
        <w:t xml:space="preserve">Compliance-advies</w:t>
      </w:r>
    </w:p>
    <w:p>
      <w:pPr>
        <w:pStyle w:val="ListParagraph"/>
        <w:numPr>
          <w:ilvl w:val="0"/>
          <w:numId w:val="2"/>
        </w:numPr>
        <w:spacing w:after="40"/>
      </w:pPr>
      <w:r>
        <w:rPr>
          <w:color w:val="595959"/>
          <w:sz w:val="20"/>
          <w:szCs w:val="20"/>
        </w:rPr>
        <w:t xml:space="preserve">Risk-advies</w:t>
      </w:r>
    </w:p>
    <w:p>
      <w:pPr>
        <w:pStyle w:val="ListParagraph"/>
        <w:numPr>
          <w:ilvl w:val="0"/>
          <w:numId w:val="2"/>
        </w:numPr>
        <w:spacing w:after="40"/>
      </w:pPr>
      <w:r>
        <w:rPr>
          <w:color w:val="595959"/>
          <w:sz w:val="20"/>
          <w:szCs w:val="20"/>
        </w:rPr>
        <w:t xml:space="preserve">Aanpassingen verwerkt of beargumenteerd weersproken</w:t>
      </w:r>
    </w:p>
    <w:p>
      <w:pPr>
        <w:spacing w:after="60" w:before="120"/>
      </w:pPr>
      <w:r>
        <w:rPr>
          <w:b/>
          <w:bCs/>
          <w:sz w:val="22"/>
          <w:szCs w:val="22"/>
        </w:rPr>
        <w:t xml:space="preserve">5. Formele goedkeuring en lancering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Bestuurlijke goedkeuring, productdossier, communicatiematerialen gevalideerd, monitoring-cadens vastgesteld.</w:t>
      </w:r>
    </w:p>
    <w:p>
      <w:pPr>
        <w:pStyle w:val="ListParagraph"/>
        <w:numPr>
          <w:ilvl w:val="0"/>
          <w:numId w:val="2"/>
        </w:numPr>
        <w:spacing w:after="40"/>
      </w:pPr>
      <w:r>
        <w:rPr>
          <w:color w:val="595959"/>
          <w:sz w:val="20"/>
          <w:szCs w:val="20"/>
        </w:rPr>
        <w:t xml:space="preserve">Goedkeuringsbesluit met motivering</w:t>
      </w:r>
    </w:p>
    <w:p>
      <w:pPr>
        <w:pStyle w:val="ListParagraph"/>
        <w:numPr>
          <w:ilvl w:val="0"/>
          <w:numId w:val="2"/>
        </w:numPr>
        <w:spacing w:after="40"/>
      </w:pPr>
      <w:r>
        <w:rPr>
          <w:color w:val="595959"/>
          <w:sz w:val="20"/>
          <w:szCs w:val="20"/>
        </w:rPr>
        <w:t xml:space="preserve">Productdossier compleet</w:t>
      </w:r>
    </w:p>
    <w:p>
      <w:pPr>
        <w:pStyle w:val="ListParagraph"/>
        <w:numPr>
          <w:ilvl w:val="0"/>
          <w:numId w:val="2"/>
        </w:numPr>
        <w:spacing w:after="40"/>
      </w:pPr>
      <w:r>
        <w:rPr>
          <w:color w:val="595959"/>
          <w:sz w:val="20"/>
          <w:szCs w:val="20"/>
        </w:rPr>
        <w:t xml:space="preserve">Monitoringscadens belegd</w:t>
      </w:r>
    </w:p>
    <w:p>
      <w:pPr>
        <w:spacing w:after="60" w:before="120"/>
      </w:pPr>
      <w:r>
        <w:rPr>
          <w:b/>
          <w:bCs/>
          <w:sz w:val="22"/>
          <w:szCs w:val="22"/>
        </w:rPr>
        <w:t xml:space="preserve">6. Periodieke productreview</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Cyclische beoordeling van marktdynamiek, klacht-cijfers, claims-ratio en uitkomstvergelijking met initiële doelgroep-aannames.</w:t>
      </w:r>
    </w:p>
    <w:p>
      <w:pPr>
        <w:pStyle w:val="ListParagraph"/>
        <w:numPr>
          <w:ilvl w:val="0"/>
          <w:numId w:val="2"/>
        </w:numPr>
        <w:spacing w:after="40"/>
      </w:pPr>
      <w:r>
        <w:rPr>
          <w:color w:val="595959"/>
          <w:sz w:val="20"/>
          <w:szCs w:val="20"/>
        </w:rPr>
        <w:t xml:space="preserve">Reviewrapport met KPI's</w:t>
      </w:r>
    </w:p>
    <w:p>
      <w:pPr>
        <w:pStyle w:val="ListParagraph"/>
        <w:numPr>
          <w:ilvl w:val="0"/>
          <w:numId w:val="2"/>
        </w:numPr>
        <w:spacing w:after="40"/>
      </w:pPr>
      <w:r>
        <w:rPr>
          <w:color w:val="595959"/>
          <w:sz w:val="20"/>
          <w:szCs w:val="20"/>
        </w:rPr>
        <w:t xml:space="preserve">Aanbevelingen tot bijsturing of intrekking</w:t>
      </w:r>
    </w:p>
    <w:p>
      <w:pPr>
        <w:spacing w:after="100" w:before="240"/>
      </w:pPr>
      <w:r>
        <w:rPr>
          <w:b/>
          <w:bCs/>
          <w:color w:val="0F2744"/>
          <w:sz w:val="24"/>
          <w:szCs w:val="24"/>
        </w:rPr>
        <w:t xml:space="preserve">Aandachtspunten en typische valkuilen</w:t>
      </w:r>
    </w:p>
    <w:p>
      <w:pPr>
        <w:spacing w:after="320"/>
      </w:pPr>
      <w:r>
        <w:rPr>
          <w:i/>
          <w:iCs/>
          <w:sz w:val="22"/>
          <w:szCs w:val="22"/>
        </w:rPr>
        <w:t xml:space="preserve">POG wordt door verzekeraars vaak gezien als compliance-vinklijst. Toezichthouders kijken juist naar de inhoudelijke onderbouwing van de doelgroep en de aansluiting van distributie. Investeer in echte doelgroepanalyse — niet alleen het in elkaar puzzelen van marketingsegmenten.</w:t>
      </w:r>
    </w:p>
    <w:p>
      <w:pPr>
        <w:pStyle w:val="Heading2"/>
      </w:pPr>
      <w:r>
        <w:t xml:space="preserve">ORSA-cyclus (Own Risk and Solvency Assessment)</w:t>
      </w:r>
    </w:p>
    <w:p>
      <w:pPr>
        <w:spacing w:after="200"/>
      </w:pPr>
      <w:r>
        <w:rPr>
          <w:sz w:val="22"/>
          <w:szCs w:val="22"/>
        </w:rPr>
        <w:t xml:space="preserve">ORSA is de jaarlijkse zelfbeoordeling van de risico- en kapitaalpositie onder Solvency II. Het is een van de zwaarste bestuurlijke trajecten, omdat het de strategie, het risicokader en de kapitaalplanning over meerdere jaren samenbrengt.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Vaste jaarlijkse cyclus; tussentijds bij materiële strategiewijziging</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Minstens jaarlijks</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RvB, met centrale rol voor risk-functie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4-6 maanden van scenario-keuze tot rapportage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Solvency II richtlijn art. 45, EIOPA ORSA-richtsnoeren</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ORSA-plan en scenariokeuze</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stelt ORSA-plan vast, kiest stress-scenario's en reverse stresstests die passen bij actuele risico-profiel.</w:t>
      </w:r>
    </w:p>
    <w:p>
      <w:pPr>
        <w:pStyle w:val="ListParagraph"/>
        <w:numPr>
          <w:ilvl w:val="0"/>
          <w:numId w:val="2"/>
        </w:numPr>
        <w:spacing w:after="40"/>
      </w:pPr>
      <w:r>
        <w:rPr>
          <w:color w:val="595959"/>
          <w:sz w:val="20"/>
          <w:szCs w:val="20"/>
        </w:rPr>
        <w:t xml:space="preserve">ORSA-plan vastgesteld</w:t>
      </w:r>
    </w:p>
    <w:p>
      <w:pPr>
        <w:pStyle w:val="ListParagraph"/>
        <w:numPr>
          <w:ilvl w:val="0"/>
          <w:numId w:val="2"/>
        </w:numPr>
        <w:spacing w:after="40"/>
      </w:pPr>
      <w:r>
        <w:rPr>
          <w:color w:val="595959"/>
          <w:sz w:val="20"/>
          <w:szCs w:val="20"/>
        </w:rPr>
        <w:t xml:space="preserve">Scenarioset onderbouwd</w:t>
      </w:r>
    </w:p>
    <w:p>
      <w:pPr>
        <w:spacing w:after="60" w:before="120"/>
      </w:pPr>
      <w:r>
        <w:rPr>
          <w:b/>
          <w:bCs/>
          <w:sz w:val="22"/>
          <w:szCs w:val="22"/>
        </w:rPr>
        <w:t xml:space="preserve">2. Risico-identificatie en data-verzameling</w:t>
      </w:r>
      <w:r>
        <w:rPr>
          <w:b/>
          <w:bCs/>
          <w:color w:val="0F2744"/>
          <w:sz w:val="18"/>
          <w:szCs w:val="18"/>
        </w:rPr>
        <w:t xml:space="preserve"> [bewijs vereist]</w:t>
      </w:r>
    </w:p>
    <w:p>
      <w:pPr>
        <w:spacing w:after="60"/>
        <w:ind w:left="360"/>
      </w:pPr>
      <w:r>
        <w:rPr>
          <w:sz w:val="21"/>
          <w:szCs w:val="21"/>
        </w:rPr>
        <w:t xml:space="preserve">Inventarisatie van alle materiële risico's, inclusief opkomende risico's. Data verzameld voor de scenario-modellering.</w:t>
      </w:r>
    </w:p>
    <w:p>
      <w:pPr>
        <w:pStyle w:val="ListParagraph"/>
        <w:numPr>
          <w:ilvl w:val="0"/>
          <w:numId w:val="2"/>
        </w:numPr>
        <w:spacing w:after="40"/>
      </w:pPr>
      <w:r>
        <w:rPr>
          <w:color w:val="595959"/>
          <w:sz w:val="20"/>
          <w:szCs w:val="20"/>
        </w:rPr>
        <w:t xml:space="preserve">Risico-inventarisatie</w:t>
      </w:r>
    </w:p>
    <w:p>
      <w:pPr>
        <w:pStyle w:val="ListParagraph"/>
        <w:numPr>
          <w:ilvl w:val="0"/>
          <w:numId w:val="2"/>
        </w:numPr>
        <w:spacing w:after="40"/>
      </w:pPr>
      <w:r>
        <w:rPr>
          <w:color w:val="595959"/>
          <w:sz w:val="20"/>
          <w:szCs w:val="20"/>
        </w:rPr>
        <w:t xml:space="preserve">Datapakket compleet</w:t>
      </w:r>
    </w:p>
    <w:p>
      <w:pPr>
        <w:spacing w:after="60" w:before="120"/>
      </w:pPr>
      <w:r>
        <w:rPr>
          <w:b/>
          <w:bCs/>
          <w:sz w:val="22"/>
          <w:szCs w:val="22"/>
        </w:rPr>
        <w:t xml:space="preserve">3. Modellering en kapitaalprojectie</w:t>
      </w:r>
      <w:r>
        <w:rPr>
          <w:b/>
          <w:bCs/>
          <w:color w:val="0F2744"/>
          <w:sz w:val="18"/>
          <w:szCs w:val="18"/>
        </w:rPr>
        <w:t xml:space="preserve"> [bewijs vereist]</w:t>
      </w:r>
    </w:p>
    <w:p>
      <w:pPr>
        <w:spacing w:after="60"/>
        <w:ind w:left="360"/>
      </w:pPr>
      <w:r>
        <w:rPr>
          <w:sz w:val="21"/>
          <w:szCs w:val="21"/>
        </w:rPr>
        <w:t xml:space="preserve">Doorrekening van scenario's, projectie van SCR en Own Funds over de strategische horizon.</w:t>
      </w:r>
    </w:p>
    <w:p>
      <w:pPr>
        <w:pStyle w:val="ListParagraph"/>
        <w:numPr>
          <w:ilvl w:val="0"/>
          <w:numId w:val="2"/>
        </w:numPr>
        <w:spacing w:after="40"/>
      </w:pPr>
      <w:r>
        <w:rPr>
          <w:color w:val="595959"/>
          <w:sz w:val="20"/>
          <w:szCs w:val="20"/>
        </w:rPr>
        <w:t xml:space="preserve">SCR-projectie per scenario</w:t>
      </w:r>
    </w:p>
    <w:p>
      <w:pPr>
        <w:pStyle w:val="ListParagraph"/>
        <w:numPr>
          <w:ilvl w:val="0"/>
          <w:numId w:val="2"/>
        </w:numPr>
        <w:spacing w:after="40"/>
      </w:pPr>
      <w:r>
        <w:rPr>
          <w:color w:val="595959"/>
          <w:sz w:val="20"/>
          <w:szCs w:val="20"/>
        </w:rPr>
        <w:t xml:space="preserve">Liquiditeitsprojectie</w:t>
      </w:r>
    </w:p>
    <w:p>
      <w:pPr>
        <w:pStyle w:val="ListParagraph"/>
        <w:numPr>
          <w:ilvl w:val="0"/>
          <w:numId w:val="2"/>
        </w:numPr>
        <w:spacing w:after="40"/>
      </w:pPr>
      <w:r>
        <w:rPr>
          <w:color w:val="595959"/>
          <w:sz w:val="20"/>
          <w:szCs w:val="20"/>
        </w:rPr>
        <w:t xml:space="preserve">Stress- en reverse-stress-resultaten</w:t>
      </w:r>
    </w:p>
    <w:p>
      <w:pPr>
        <w:spacing w:after="60" w:before="120"/>
      </w:pPr>
      <w:r>
        <w:rPr>
          <w:b/>
          <w:bCs/>
          <w:sz w:val="22"/>
          <w:szCs w:val="22"/>
        </w:rPr>
        <w:t xml:space="preserve">4. Bestuurlijke besluitvorming over kapitaalplan</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weegt resultaten en besluit over kapitaalbufferbeleid, dividendpolitiek, herverzekering en eventuele strategische bijsturing.</w:t>
      </w:r>
    </w:p>
    <w:p>
      <w:pPr>
        <w:pStyle w:val="ListParagraph"/>
        <w:numPr>
          <w:ilvl w:val="0"/>
          <w:numId w:val="2"/>
        </w:numPr>
        <w:spacing w:after="40"/>
      </w:pPr>
      <w:r>
        <w:rPr>
          <w:color w:val="595959"/>
          <w:sz w:val="20"/>
          <w:szCs w:val="20"/>
        </w:rPr>
        <w:t xml:space="preserve">Bestuursbesluiten vastgelegd</w:t>
      </w:r>
    </w:p>
    <w:p>
      <w:pPr>
        <w:pStyle w:val="ListParagraph"/>
        <w:numPr>
          <w:ilvl w:val="0"/>
          <w:numId w:val="2"/>
        </w:numPr>
        <w:spacing w:after="40"/>
      </w:pPr>
      <w:r>
        <w:rPr>
          <w:color w:val="595959"/>
          <w:sz w:val="20"/>
          <w:szCs w:val="20"/>
        </w:rPr>
        <w:t xml:space="preserve">Kapitaalplan voor strategische horizon</w:t>
      </w:r>
    </w:p>
    <w:p>
      <w:pPr>
        <w:spacing w:after="60" w:before="120"/>
      </w:pPr>
      <w:r>
        <w:rPr>
          <w:b/>
          <w:bCs/>
          <w:sz w:val="22"/>
          <w:szCs w:val="22"/>
        </w:rPr>
        <w:t xml:space="preserve">5. ORSA-rapportage en DNB-indiening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ORSA-rapport opstellen, vaststellen door bestuur, indienen bij DNB. Vaak gevolgd door inhoudelijke terugkoppeling met DNB.</w:t>
      </w:r>
    </w:p>
    <w:p>
      <w:pPr>
        <w:pStyle w:val="ListParagraph"/>
        <w:numPr>
          <w:ilvl w:val="0"/>
          <w:numId w:val="2"/>
        </w:numPr>
        <w:spacing w:after="40"/>
      </w:pPr>
      <w:r>
        <w:rPr>
          <w:color w:val="595959"/>
          <w:sz w:val="20"/>
          <w:szCs w:val="20"/>
        </w:rPr>
        <w:t xml:space="preserve">ORSA-rapport vastgesteld</w:t>
      </w:r>
    </w:p>
    <w:p>
      <w:pPr>
        <w:pStyle w:val="ListParagraph"/>
        <w:numPr>
          <w:ilvl w:val="0"/>
          <w:numId w:val="2"/>
        </w:numPr>
        <w:spacing w:after="40"/>
      </w:pPr>
      <w:r>
        <w:rPr>
          <w:color w:val="595959"/>
          <w:sz w:val="20"/>
          <w:szCs w:val="20"/>
        </w:rPr>
        <w:t xml:space="preserve">Indiening bij DNB bevestigd</w:t>
      </w:r>
    </w:p>
    <w:p>
      <w:pPr>
        <w:pStyle w:val="ListParagraph"/>
        <w:numPr>
          <w:ilvl w:val="0"/>
          <w:numId w:val="2"/>
        </w:numPr>
        <w:spacing w:after="40"/>
      </w:pPr>
      <w:r>
        <w:rPr>
          <w:color w:val="595959"/>
          <w:sz w:val="20"/>
          <w:szCs w:val="20"/>
        </w:rPr>
        <w:t xml:space="preserve">Eventuele DNB-vragen beantwoord</w:t>
      </w:r>
    </w:p>
    <w:p>
      <w:pPr>
        <w:spacing w:after="100" w:before="240"/>
      </w:pPr>
      <w:r>
        <w:rPr>
          <w:b/>
          <w:bCs/>
          <w:color w:val="0F2744"/>
          <w:sz w:val="24"/>
          <w:szCs w:val="24"/>
        </w:rPr>
        <w:t xml:space="preserve">Aandachtspunten en typische valkuilen</w:t>
      </w:r>
    </w:p>
    <w:p>
      <w:pPr>
        <w:spacing w:after="320"/>
      </w:pPr>
      <w:r>
        <w:rPr>
          <w:i/>
          <w:iCs/>
          <w:sz w:val="22"/>
          <w:szCs w:val="22"/>
        </w:rPr>
        <w:t xml:space="preserve">ORSA wordt vaak een uitvoeringstraject van de risk-functie waar het bestuur op het einde alleen tekent. Dat is een gemiste kans én een toezicht-risico. Bestuurlijke betrokkenheid bij de scenariokeuze aan de start en bij de strategische conclusies aan het einde is wat ORSA tot een waardevol instrument maakt.</w:t>
      </w:r>
    </w:p>
    <w:p>
      <w:pPr>
        <w:pStyle w:val="Heading2"/>
      </w:pPr>
      <w:r>
        <w:t xml:space="preserve">Beoordeling herverzekeringscontracten</w:t>
      </w:r>
    </w:p>
    <w:p>
      <w:pPr>
        <w:spacing w:after="200"/>
      </w:pPr>
      <w:r>
        <w:rPr>
          <w:sz w:val="22"/>
          <w:szCs w:val="22"/>
        </w:rPr>
        <w:t xml:space="preserve">Herverzekering vormt een kerninstrument voor kapitaalbeheersing en concentratierisico-beheer. Jaarlijkse vernieuwing van treaty-overeenkomsten vraagt zorgvuldige onderhandeling, tegenpartij-due-diligence en bestuurlijke goedkeuring boven drempels.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Jaarlijkse renewal-cyclus; ad-hoc bij strategiewijziging of nieuwe risico's</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Jaarlijks; vaker bij meerdere lines of business</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RvB, voorbereid door reinsurance-functie en CRO</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3-6 maanden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Solvency II (kapitaalvermindering), DNB Outsourcing Guidelines, sancties-regimes</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Strategische heroverweging herverzekeringsstructuur</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evalueert of de huidige structuur (excess of loss, quota share, stop loss) nog past bij het risicoprofiel en kapitaalbeleid.</w:t>
      </w:r>
    </w:p>
    <w:p>
      <w:pPr>
        <w:pStyle w:val="ListParagraph"/>
        <w:numPr>
          <w:ilvl w:val="0"/>
          <w:numId w:val="2"/>
        </w:numPr>
        <w:spacing w:after="40"/>
      </w:pPr>
      <w:r>
        <w:rPr>
          <w:color w:val="595959"/>
          <w:sz w:val="20"/>
          <w:szCs w:val="20"/>
        </w:rPr>
        <w:t xml:space="preserve">Strategiedocument herverzekering</w:t>
      </w:r>
    </w:p>
    <w:p>
      <w:pPr>
        <w:pStyle w:val="ListParagraph"/>
        <w:numPr>
          <w:ilvl w:val="0"/>
          <w:numId w:val="2"/>
        </w:numPr>
        <w:spacing w:after="40"/>
      </w:pPr>
      <w:r>
        <w:rPr>
          <w:color w:val="595959"/>
          <w:sz w:val="20"/>
          <w:szCs w:val="20"/>
        </w:rPr>
        <w:t xml:space="preserve">Behoefte-analyse per line of business</w:t>
      </w:r>
    </w:p>
    <w:p>
      <w:pPr>
        <w:spacing w:after="60" w:before="120"/>
      </w:pPr>
      <w:r>
        <w:rPr>
          <w:b/>
          <w:bCs/>
          <w:sz w:val="22"/>
          <w:szCs w:val="22"/>
        </w:rPr>
        <w:t xml:space="preserve">2. Marktbenadering en quoting</w:t>
      </w:r>
      <w:r>
        <w:rPr>
          <w:b/>
          <w:bCs/>
          <w:color w:val="0F2744"/>
          <w:sz w:val="18"/>
          <w:szCs w:val="18"/>
        </w:rPr>
        <w:t xml:space="preserve"> [bewijs vereist]</w:t>
      </w:r>
    </w:p>
    <w:p>
      <w:pPr>
        <w:spacing w:after="60"/>
        <w:ind w:left="360"/>
      </w:pPr>
      <w:r>
        <w:rPr>
          <w:sz w:val="21"/>
          <w:szCs w:val="21"/>
        </w:rPr>
        <w:t xml:space="preserve">Aanvraag bij broker(s) en directe markt, ontvangst van quotations, eerste analyse op prijs en voorwaarden.</w:t>
      </w:r>
    </w:p>
    <w:p>
      <w:pPr>
        <w:pStyle w:val="ListParagraph"/>
        <w:numPr>
          <w:ilvl w:val="0"/>
          <w:numId w:val="2"/>
        </w:numPr>
        <w:spacing w:after="40"/>
      </w:pPr>
      <w:r>
        <w:rPr>
          <w:color w:val="595959"/>
          <w:sz w:val="20"/>
          <w:szCs w:val="20"/>
        </w:rPr>
        <w:t xml:space="preserve">Quotations ontvangen</w:t>
      </w:r>
    </w:p>
    <w:p>
      <w:pPr>
        <w:pStyle w:val="ListParagraph"/>
        <w:numPr>
          <w:ilvl w:val="0"/>
          <w:numId w:val="2"/>
        </w:numPr>
        <w:spacing w:after="40"/>
      </w:pPr>
      <w:r>
        <w:rPr>
          <w:color w:val="595959"/>
          <w:sz w:val="20"/>
          <w:szCs w:val="20"/>
        </w:rPr>
        <w:t xml:space="preserve">Vergelijkende analyse</w:t>
      </w:r>
    </w:p>
    <w:p>
      <w:pPr>
        <w:spacing w:after="60" w:before="120"/>
      </w:pPr>
      <w:r>
        <w:rPr>
          <w:b/>
          <w:bCs/>
          <w:sz w:val="22"/>
          <w:szCs w:val="22"/>
        </w:rPr>
        <w:t xml:space="preserve">3. Tegenpartij-due-diligence en sancties-screening</w:t>
      </w:r>
      <w:r>
        <w:rPr>
          <w:b/>
          <w:bCs/>
          <w:color w:val="0F2744"/>
          <w:sz w:val="18"/>
          <w:szCs w:val="18"/>
        </w:rPr>
        <w:t xml:space="preserve"> [bewijs vereist]</w:t>
      </w:r>
    </w:p>
    <w:p>
      <w:pPr>
        <w:spacing w:after="60"/>
        <w:ind w:left="360"/>
      </w:pPr>
      <w:r>
        <w:rPr>
          <w:sz w:val="21"/>
          <w:szCs w:val="21"/>
        </w:rPr>
        <w:t xml:space="preserve">Beoordeling van credit rating, financiële gezondheid en sancties-positie van potentiële tegenpartijen.</w:t>
      </w:r>
    </w:p>
    <w:p>
      <w:pPr>
        <w:pStyle w:val="ListParagraph"/>
        <w:numPr>
          <w:ilvl w:val="0"/>
          <w:numId w:val="2"/>
        </w:numPr>
        <w:spacing w:after="40"/>
      </w:pPr>
      <w:r>
        <w:rPr>
          <w:color w:val="595959"/>
          <w:sz w:val="20"/>
          <w:szCs w:val="20"/>
        </w:rPr>
        <w:t xml:space="preserve">Credit-rating-rapport</w:t>
      </w:r>
    </w:p>
    <w:p>
      <w:pPr>
        <w:pStyle w:val="ListParagraph"/>
        <w:numPr>
          <w:ilvl w:val="0"/>
          <w:numId w:val="2"/>
        </w:numPr>
        <w:spacing w:after="40"/>
      </w:pPr>
      <w:r>
        <w:rPr>
          <w:color w:val="595959"/>
          <w:sz w:val="20"/>
          <w:szCs w:val="20"/>
        </w:rPr>
        <w:t xml:space="preserve">Sancties-screening</w:t>
      </w:r>
    </w:p>
    <w:p>
      <w:pPr>
        <w:pStyle w:val="ListParagraph"/>
        <w:numPr>
          <w:ilvl w:val="0"/>
          <w:numId w:val="2"/>
        </w:numPr>
        <w:spacing w:after="40"/>
      </w:pPr>
      <w:r>
        <w:rPr>
          <w:color w:val="595959"/>
          <w:sz w:val="20"/>
          <w:szCs w:val="20"/>
        </w:rPr>
        <w:t xml:space="preserve">Concentratierisico-analyse</w:t>
      </w:r>
    </w:p>
    <w:p>
      <w:pPr>
        <w:spacing w:after="60" w:before="120"/>
      </w:pPr>
      <w:r>
        <w:rPr>
          <w:b/>
          <w:bCs/>
          <w:sz w:val="22"/>
          <w:szCs w:val="22"/>
        </w:rPr>
        <w:t xml:space="preserve">4. Onderhandeling en finalisatie voorwaarden</w:t>
      </w:r>
      <w:r>
        <w:rPr>
          <w:b/>
          <w:bCs/>
          <w:color w:val="0F2744"/>
          <w:sz w:val="18"/>
          <w:szCs w:val="18"/>
        </w:rPr>
        <w:t xml:space="preserve"> [bewijs vereist]</w:t>
      </w:r>
    </w:p>
    <w:p>
      <w:pPr>
        <w:spacing w:after="60"/>
        <w:ind w:left="360"/>
      </w:pPr>
      <w:r>
        <w:rPr>
          <w:sz w:val="21"/>
          <w:szCs w:val="21"/>
        </w:rPr>
        <w:t xml:space="preserve">Onderhandeling op prijs, retentie, voorwaarden en exclusies. Juridische review van het contract.</w:t>
      </w:r>
    </w:p>
    <w:p>
      <w:pPr>
        <w:pStyle w:val="ListParagraph"/>
        <w:numPr>
          <w:ilvl w:val="0"/>
          <w:numId w:val="2"/>
        </w:numPr>
        <w:spacing w:after="40"/>
      </w:pPr>
      <w:r>
        <w:rPr>
          <w:color w:val="595959"/>
          <w:sz w:val="20"/>
          <w:szCs w:val="20"/>
        </w:rPr>
        <w:t xml:space="preserve">Concept-contract</w:t>
      </w:r>
    </w:p>
    <w:p>
      <w:pPr>
        <w:pStyle w:val="ListParagraph"/>
        <w:numPr>
          <w:ilvl w:val="0"/>
          <w:numId w:val="2"/>
        </w:numPr>
        <w:spacing w:after="40"/>
      </w:pPr>
      <w:r>
        <w:rPr>
          <w:color w:val="595959"/>
          <w:sz w:val="20"/>
          <w:szCs w:val="20"/>
        </w:rPr>
        <w:t xml:space="preserve">Juridische review</w:t>
      </w:r>
    </w:p>
    <w:p>
      <w:pPr>
        <w:pStyle w:val="ListParagraph"/>
        <w:numPr>
          <w:ilvl w:val="0"/>
          <w:numId w:val="2"/>
        </w:numPr>
        <w:spacing w:after="40"/>
      </w:pPr>
      <w:r>
        <w:rPr>
          <w:color w:val="595959"/>
          <w:sz w:val="20"/>
          <w:szCs w:val="20"/>
        </w:rPr>
        <w:t xml:space="preserve">Onderhandelingsoverzicht</w:t>
      </w:r>
    </w:p>
    <w:p>
      <w:pPr>
        <w:spacing w:after="60" w:before="120"/>
      </w:pPr>
      <w:r>
        <w:rPr>
          <w:b/>
          <w:bCs/>
          <w:sz w:val="22"/>
          <w:szCs w:val="22"/>
        </w:rPr>
        <w:t xml:space="preserve">5. Bestuursbesluit en contractsluiting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Bestuurlijke goedkeuring boven drempel, ondertekening van treaty-overeenkomsten.</w:t>
      </w:r>
    </w:p>
    <w:p>
      <w:pPr>
        <w:pStyle w:val="ListParagraph"/>
        <w:numPr>
          <w:ilvl w:val="0"/>
          <w:numId w:val="2"/>
        </w:numPr>
        <w:spacing w:after="40"/>
      </w:pPr>
      <w:r>
        <w:rPr>
          <w:color w:val="595959"/>
          <w:sz w:val="20"/>
          <w:szCs w:val="20"/>
        </w:rPr>
        <w:t xml:space="preserve">Goedkeuringsbesluit</w:t>
      </w:r>
    </w:p>
    <w:p>
      <w:pPr>
        <w:pStyle w:val="ListParagraph"/>
        <w:numPr>
          <w:ilvl w:val="0"/>
          <w:numId w:val="2"/>
        </w:numPr>
        <w:spacing w:after="40"/>
      </w:pPr>
      <w:r>
        <w:rPr>
          <w:color w:val="595959"/>
          <w:sz w:val="20"/>
          <w:szCs w:val="20"/>
        </w:rPr>
        <w:t xml:space="preserve">Getekende treaty's</w:t>
      </w:r>
    </w:p>
    <w:p>
      <w:pPr>
        <w:spacing w:after="100" w:before="240"/>
      </w:pPr>
      <w:r>
        <w:rPr>
          <w:b/>
          <w:bCs/>
          <w:color w:val="0F2744"/>
          <w:sz w:val="24"/>
          <w:szCs w:val="24"/>
        </w:rPr>
        <w:t xml:space="preserve">Aandachtspunten en typische valkuilen</w:t>
      </w:r>
    </w:p>
    <w:p>
      <w:pPr>
        <w:spacing w:after="320"/>
      </w:pPr>
      <w:r>
        <w:rPr>
          <w:i/>
          <w:iCs/>
          <w:sz w:val="22"/>
          <w:szCs w:val="22"/>
        </w:rPr>
        <w:t xml:space="preserve">De grootste verborgen risico's zitten in de voorwaarden, niet in de prijs. Exclusies, definities van 'ene event' en cumulatieve grenzen kunnen de waarde van een treaty in de praktijk halveren. Investeer in juridische review door iemand die specifiek treaty-ervaring heeft, niet algemene contractenrecht.</w:t>
      </w:r>
    </w:p>
    <w:p>
      <w:pPr>
        <w:pStyle w:val="Heading2"/>
      </w:pPr>
      <w:r>
        <w:t xml:space="preserve">Major-claims escalatie</w:t>
      </w:r>
    </w:p>
    <w:p>
      <w:pPr>
        <w:spacing w:after="200"/>
      </w:pPr>
      <w:r>
        <w:rPr>
          <w:sz w:val="22"/>
          <w:szCs w:val="22"/>
        </w:rPr>
        <w:t xml:space="preserve">Claims boven een drempelbedrag (vaak EUR 1-5 miljoen) of met reputationele dimensie doorlopen een vast escalatieproces met juridische beoordeling, herverzekerings-notificatie en bestuurlijke betrokkenheid.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Claim boven drempel of met bijzondere kenmerken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 aanleiding (variërend per portefeuille)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Claims-directie, met bestuurlijke escalatie boven drempels</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Maanden tot jaren afhankelijk van complexiteit</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Wft (zorgvuldige claimsafhandeling), eigen interne escalatiematrix</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Initiële beoordeling en escalatiebepaling</w:t>
      </w:r>
      <w:r>
        <w:rPr>
          <w:b/>
          <w:bCs/>
          <w:color w:val="0F2744"/>
          <w:sz w:val="18"/>
          <w:szCs w:val="18"/>
        </w:rPr>
        <w:t xml:space="preserve"> [bewijs vereist]</w:t>
      </w:r>
    </w:p>
    <w:p>
      <w:pPr>
        <w:spacing w:after="60"/>
        <w:ind w:left="360"/>
      </w:pPr>
      <w:r>
        <w:rPr>
          <w:sz w:val="21"/>
          <w:szCs w:val="21"/>
        </w:rPr>
        <w:t xml:space="preserve">Claims-team beoordeelt of escalatiecriteria worden gehaald (drempelbedrag, complexiteit, reputatie).</w:t>
      </w:r>
    </w:p>
    <w:p>
      <w:pPr>
        <w:pStyle w:val="ListParagraph"/>
        <w:numPr>
          <w:ilvl w:val="0"/>
          <w:numId w:val="2"/>
        </w:numPr>
        <w:spacing w:after="40"/>
      </w:pPr>
      <w:r>
        <w:rPr>
          <w:color w:val="595959"/>
          <w:sz w:val="20"/>
          <w:szCs w:val="20"/>
        </w:rPr>
        <w:t xml:space="preserve">Escalatie-formulier ingevuld</w:t>
      </w:r>
    </w:p>
    <w:p>
      <w:pPr>
        <w:pStyle w:val="ListParagraph"/>
        <w:numPr>
          <w:ilvl w:val="0"/>
          <w:numId w:val="2"/>
        </w:numPr>
        <w:spacing w:after="40"/>
      </w:pPr>
      <w:r>
        <w:rPr>
          <w:color w:val="595959"/>
          <w:sz w:val="20"/>
          <w:szCs w:val="20"/>
        </w:rPr>
        <w:t xml:space="preserve">Eerste reservering bepaald</w:t>
      </w:r>
    </w:p>
    <w:p>
      <w:pPr>
        <w:spacing w:after="60" w:before="120"/>
      </w:pPr>
      <w:r>
        <w:rPr>
          <w:b/>
          <w:bCs/>
          <w:sz w:val="22"/>
          <w:szCs w:val="22"/>
        </w:rPr>
        <w:t xml:space="preserve">2. Juridische en technische beoordeling</w:t>
      </w:r>
      <w:r>
        <w:rPr>
          <w:b/>
          <w:bCs/>
          <w:color w:val="0F2744"/>
          <w:sz w:val="18"/>
          <w:szCs w:val="18"/>
        </w:rPr>
        <w:t xml:space="preserve"> [bewijs vereist]</w:t>
      </w:r>
    </w:p>
    <w:p>
      <w:pPr>
        <w:spacing w:after="60"/>
        <w:ind w:left="360"/>
      </w:pPr>
      <w:r>
        <w:rPr>
          <w:sz w:val="21"/>
          <w:szCs w:val="21"/>
        </w:rPr>
        <w:t xml:space="preserve">Beoordeling dekking, juridische positie, expertkeuzes (taxateur, schade-experts).</w:t>
      </w:r>
    </w:p>
    <w:p>
      <w:pPr>
        <w:pStyle w:val="ListParagraph"/>
        <w:numPr>
          <w:ilvl w:val="0"/>
          <w:numId w:val="2"/>
        </w:numPr>
        <w:spacing w:after="40"/>
      </w:pPr>
      <w:r>
        <w:rPr>
          <w:color w:val="595959"/>
          <w:sz w:val="20"/>
          <w:szCs w:val="20"/>
        </w:rPr>
        <w:t xml:space="preserve">Juridisch advies dekking</w:t>
      </w:r>
    </w:p>
    <w:p>
      <w:pPr>
        <w:pStyle w:val="ListParagraph"/>
        <w:numPr>
          <w:ilvl w:val="0"/>
          <w:numId w:val="2"/>
        </w:numPr>
        <w:spacing w:after="40"/>
      </w:pPr>
      <w:r>
        <w:rPr>
          <w:color w:val="595959"/>
          <w:sz w:val="20"/>
          <w:szCs w:val="20"/>
        </w:rPr>
        <w:t xml:space="preserve">Expertopdracht en -rapport</w:t>
      </w:r>
    </w:p>
    <w:p>
      <w:pPr>
        <w:spacing w:after="60" w:before="120"/>
      </w:pPr>
      <w:r>
        <w:rPr>
          <w:b/>
          <w:bCs/>
          <w:sz w:val="22"/>
          <w:szCs w:val="22"/>
        </w:rPr>
        <w:t xml:space="preserve">3. Herverzekerings-notificatie</w:t>
      </w:r>
      <w:r>
        <w:rPr>
          <w:b/>
          <w:bCs/>
          <w:color w:val="0F2744"/>
          <w:sz w:val="18"/>
          <w:szCs w:val="18"/>
        </w:rPr>
        <w:t xml:space="preserve"> [bewijs vereist]</w:t>
      </w:r>
    </w:p>
    <w:p>
      <w:pPr>
        <w:spacing w:after="60"/>
        <w:ind w:left="360"/>
      </w:pPr>
      <w:r>
        <w:rPr>
          <w:sz w:val="21"/>
          <w:szCs w:val="21"/>
        </w:rPr>
        <w:t xml:space="preserve">Notificatie aan herverzekeraar conform treaty-voorwaarden, vaak binnen voorgeschreven termijn.</w:t>
      </w:r>
    </w:p>
    <w:p>
      <w:pPr>
        <w:pStyle w:val="ListParagraph"/>
        <w:numPr>
          <w:ilvl w:val="0"/>
          <w:numId w:val="2"/>
        </w:numPr>
        <w:spacing w:after="40"/>
      </w:pPr>
      <w:r>
        <w:rPr>
          <w:color w:val="595959"/>
          <w:sz w:val="20"/>
          <w:szCs w:val="20"/>
        </w:rPr>
        <w:t xml:space="preserve">Notificatie verzonden binnen termijn</w:t>
      </w:r>
    </w:p>
    <w:p>
      <w:pPr>
        <w:pStyle w:val="ListParagraph"/>
        <w:numPr>
          <w:ilvl w:val="0"/>
          <w:numId w:val="2"/>
        </w:numPr>
        <w:spacing w:after="40"/>
      </w:pPr>
      <w:r>
        <w:rPr>
          <w:color w:val="595959"/>
          <w:sz w:val="20"/>
          <w:szCs w:val="20"/>
        </w:rPr>
        <w:t xml:space="preserve">Bevestiging herverzekeraar</w:t>
      </w:r>
    </w:p>
    <w:p>
      <w:pPr>
        <w:spacing w:after="60" w:before="120"/>
      </w:pPr>
      <w:r>
        <w:rPr>
          <w:b/>
          <w:bCs/>
          <w:sz w:val="22"/>
          <w:szCs w:val="22"/>
        </w:rPr>
        <w:t xml:space="preserve">4. Reservering en bestuurlijke informatie</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Vaststellen passende reservering, informeren bestuur boven drempel, eventueel inschakelen extern juridisch.</w:t>
      </w:r>
    </w:p>
    <w:p>
      <w:pPr>
        <w:pStyle w:val="ListParagraph"/>
        <w:numPr>
          <w:ilvl w:val="0"/>
          <w:numId w:val="2"/>
        </w:numPr>
        <w:spacing w:after="40"/>
      </w:pPr>
      <w:r>
        <w:rPr>
          <w:color w:val="595959"/>
          <w:sz w:val="20"/>
          <w:szCs w:val="20"/>
        </w:rPr>
        <w:t xml:space="preserve">Reservering goedgekeurd</w:t>
      </w:r>
    </w:p>
    <w:p>
      <w:pPr>
        <w:pStyle w:val="ListParagraph"/>
        <w:numPr>
          <w:ilvl w:val="0"/>
          <w:numId w:val="2"/>
        </w:numPr>
        <w:spacing w:after="40"/>
      </w:pPr>
      <w:r>
        <w:rPr>
          <w:color w:val="595959"/>
          <w:sz w:val="20"/>
          <w:szCs w:val="20"/>
        </w:rPr>
        <w:t xml:space="preserve">Bestuur geïnformeerd via memo of agendapunt</w:t>
      </w:r>
    </w:p>
    <w:p>
      <w:pPr>
        <w:spacing w:after="60" w:before="120"/>
      </w:pPr>
      <w:r>
        <w:rPr>
          <w:b/>
          <w:bCs/>
          <w:sz w:val="22"/>
          <w:szCs w:val="22"/>
        </w:rPr>
        <w:t xml:space="preserve">5. Schikking of procedure</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Onderhandelingstraject of juridische procedure, voortgangsrapportage aan bestuur.</w:t>
      </w:r>
    </w:p>
    <w:p>
      <w:pPr>
        <w:pStyle w:val="ListParagraph"/>
        <w:numPr>
          <w:ilvl w:val="0"/>
          <w:numId w:val="2"/>
        </w:numPr>
        <w:spacing w:after="40"/>
      </w:pPr>
      <w:r>
        <w:rPr>
          <w:color w:val="595959"/>
          <w:sz w:val="20"/>
          <w:szCs w:val="20"/>
        </w:rPr>
        <w:t xml:space="preserve">Voortgangsmemo's</w:t>
      </w:r>
    </w:p>
    <w:p>
      <w:pPr>
        <w:pStyle w:val="ListParagraph"/>
        <w:numPr>
          <w:ilvl w:val="0"/>
          <w:numId w:val="2"/>
        </w:numPr>
        <w:spacing w:after="40"/>
      </w:pPr>
      <w:r>
        <w:rPr>
          <w:color w:val="595959"/>
          <w:sz w:val="20"/>
          <w:szCs w:val="20"/>
        </w:rPr>
        <w:t xml:space="preserve">Schikkings- of vonnisdocument</w:t>
      </w:r>
    </w:p>
    <w:p>
      <w:pPr>
        <w:spacing w:after="60" w:before="120"/>
      </w:pPr>
      <w:r>
        <w:rPr>
          <w:b/>
          <w:bCs/>
          <w:sz w:val="22"/>
          <w:szCs w:val="22"/>
        </w:rPr>
        <w:t xml:space="preserve">6. Afsluiting en lessons learned</w:t>
      </w:r>
      <w:r>
        <w:rPr>
          <w:b/>
          <w:bCs/>
          <w:color w:val="0F2744"/>
          <w:sz w:val="18"/>
          <w:szCs w:val="18"/>
        </w:rPr>
        <w:t xml:space="preserve"> [bewijs vereist]</w:t>
      </w:r>
    </w:p>
    <w:p>
      <w:pPr>
        <w:spacing w:after="60"/>
        <w:ind w:left="360"/>
      </w:pPr>
      <w:r>
        <w:rPr>
          <w:sz w:val="21"/>
          <w:szCs w:val="21"/>
        </w:rPr>
        <w:t xml:space="preserve">Definitieve afwikkeling, lessons learned voor underwriting en preventie.</w:t>
      </w:r>
    </w:p>
    <w:p>
      <w:pPr>
        <w:pStyle w:val="ListParagraph"/>
        <w:numPr>
          <w:ilvl w:val="0"/>
          <w:numId w:val="2"/>
        </w:numPr>
        <w:spacing w:after="40"/>
      </w:pPr>
      <w:r>
        <w:rPr>
          <w:color w:val="595959"/>
          <w:sz w:val="20"/>
          <w:szCs w:val="20"/>
        </w:rPr>
        <w:t xml:space="preserve">Afsluitingsdocument</w:t>
      </w:r>
    </w:p>
    <w:p>
      <w:pPr>
        <w:pStyle w:val="ListParagraph"/>
        <w:numPr>
          <w:ilvl w:val="0"/>
          <w:numId w:val="2"/>
        </w:numPr>
        <w:spacing w:after="40"/>
      </w:pPr>
      <w:r>
        <w:rPr>
          <w:color w:val="595959"/>
          <w:sz w:val="20"/>
          <w:szCs w:val="20"/>
        </w:rPr>
        <w:t xml:space="preserve">Lessons-learned-memo</w:t>
      </w:r>
    </w:p>
    <w:p>
      <w:pPr>
        <w:pStyle w:val="ListParagraph"/>
        <w:numPr>
          <w:ilvl w:val="0"/>
          <w:numId w:val="2"/>
        </w:numPr>
        <w:spacing w:after="40"/>
      </w:pPr>
      <w:r>
        <w:rPr>
          <w:color w:val="595959"/>
          <w:sz w:val="20"/>
          <w:szCs w:val="20"/>
        </w:rPr>
        <w:t xml:space="preserve">Eventuele aanpassingen in underwriting-richtlijn</w:t>
      </w:r>
    </w:p>
    <w:p>
      <w:pPr>
        <w:spacing w:after="100" w:before="240"/>
      </w:pPr>
      <w:r>
        <w:rPr>
          <w:b/>
          <w:bCs/>
          <w:color w:val="0F2744"/>
          <w:sz w:val="24"/>
          <w:szCs w:val="24"/>
        </w:rPr>
        <w:t xml:space="preserve">Aandachtspunten en typische valkuilen</w:t>
      </w:r>
    </w:p>
    <w:p>
      <w:pPr>
        <w:spacing w:after="320"/>
      </w:pPr>
      <w:r>
        <w:rPr>
          <w:i/>
          <w:iCs/>
          <w:sz w:val="22"/>
          <w:szCs w:val="22"/>
        </w:rPr>
        <w:t xml:space="preserve">Major claims raken vaak aan reputatie, ook als de juridische positie sterk is. Betrek vroeg communicatie en juridisch in de beoordeling — niet alleen vanuit dekking maar ook vanuit hoe een schikking of weigering extern uitpakt. De duurste claim is meestal niet de hoogste, maar de mediagenieke.</w:t>
      </w:r>
    </w:p>
    <w:p>
      <w:pPr>
        <w:pStyle w:val="Heading2"/>
      </w:pPr>
      <w:r>
        <w:t xml:space="preserve">Incident-meldplicht DNB en AFM</w:t>
      </w:r>
    </w:p>
    <w:p>
      <w:pPr>
        <w:spacing w:after="200"/>
      </w:pPr>
      <w:r>
        <w:rPr>
          <w:sz w:val="22"/>
          <w:szCs w:val="22"/>
        </w:rPr>
        <w:t xml:space="preserve">Verzekeraars hebben gelaagde meldplichten naar DNB (prudentiële incidenten) en AFM (gedragsmatige incidenten). Tijdige en volledige melding is wettelijk vereist en de afhandeling moet auditbaar zijn.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Geconstateerd incident dat voldoet aan meldcriteria</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 aanleiding</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RvB, met operationele rol voor compliance en CRO</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Eerste melding 24-72 uur; afwikkeling 4-12 weken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Wft art. 3:17 e.v., Beleidsregel Incidenten DNB, AFM-meldplicht-regelingen, AVG voor datalekken</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Triage en classificatie</w:t>
      </w:r>
      <w:r>
        <w:rPr>
          <w:b/>
          <w:bCs/>
          <w:color w:val="0F2744"/>
          <w:sz w:val="18"/>
          <w:szCs w:val="18"/>
        </w:rPr>
        <w:t xml:space="preserve"> [bewijs vereist]</w:t>
      </w:r>
    </w:p>
    <w:p>
      <w:pPr>
        <w:spacing w:after="60"/>
        <w:ind w:left="360"/>
      </w:pPr>
      <w:r>
        <w:rPr>
          <w:sz w:val="21"/>
          <w:szCs w:val="21"/>
        </w:rPr>
        <w:t xml:space="preserve">Incident wordt geclassificeerd op meldenswaardigheid naar DNB, AFM en/of AP.</w:t>
      </w:r>
    </w:p>
    <w:p>
      <w:pPr>
        <w:pStyle w:val="ListParagraph"/>
        <w:numPr>
          <w:ilvl w:val="0"/>
          <w:numId w:val="2"/>
        </w:numPr>
        <w:spacing w:after="40"/>
      </w:pPr>
      <w:r>
        <w:rPr>
          <w:color w:val="595959"/>
          <w:sz w:val="20"/>
          <w:szCs w:val="20"/>
        </w:rPr>
        <w:t xml:space="preserve">Classificatie vastgelegd</w:t>
      </w:r>
    </w:p>
    <w:p>
      <w:pPr>
        <w:pStyle w:val="ListParagraph"/>
        <w:numPr>
          <w:ilvl w:val="0"/>
          <w:numId w:val="2"/>
        </w:numPr>
        <w:spacing w:after="40"/>
      </w:pPr>
      <w:r>
        <w:rPr>
          <w:color w:val="595959"/>
          <w:sz w:val="20"/>
          <w:szCs w:val="20"/>
        </w:rPr>
        <w:t xml:space="preserve">Bepaling van toezichthouder(s)</w:t>
      </w:r>
    </w:p>
    <w:p>
      <w:pPr>
        <w:spacing w:after="60" w:before="120"/>
      </w:pPr>
      <w:r>
        <w:rPr>
          <w:b/>
          <w:bCs/>
          <w:sz w:val="22"/>
          <w:szCs w:val="22"/>
        </w:rPr>
        <w:t xml:space="preserve">2. Bestuursbesluit melding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Bestuurlijke beslissing over melding, eventueel via spoedoverleg.</w:t>
      </w:r>
    </w:p>
    <w:p>
      <w:pPr>
        <w:pStyle w:val="ListParagraph"/>
        <w:numPr>
          <w:ilvl w:val="0"/>
          <w:numId w:val="2"/>
        </w:numPr>
        <w:spacing w:after="40"/>
      </w:pPr>
      <w:r>
        <w:rPr>
          <w:color w:val="595959"/>
          <w:sz w:val="20"/>
          <w:szCs w:val="20"/>
        </w:rPr>
        <w:t xml:space="preserve">Bestuursnotitie</w:t>
      </w:r>
    </w:p>
    <w:p>
      <w:pPr>
        <w:pStyle w:val="ListParagraph"/>
        <w:numPr>
          <w:ilvl w:val="0"/>
          <w:numId w:val="2"/>
        </w:numPr>
        <w:spacing w:after="40"/>
      </w:pPr>
      <w:r>
        <w:rPr>
          <w:color w:val="595959"/>
          <w:sz w:val="20"/>
          <w:szCs w:val="20"/>
        </w:rPr>
        <w:t xml:space="preserve">Beslissing meldenswaardigheid</w:t>
      </w:r>
    </w:p>
    <w:p>
      <w:pPr>
        <w:spacing w:after="60" w:before="120"/>
      </w:pPr>
      <w:r>
        <w:rPr>
          <w:b/>
          <w:bCs/>
          <w:sz w:val="22"/>
          <w:szCs w:val="22"/>
        </w:rPr>
        <w:t xml:space="preserve">3. Initiële melding aan toezichthouder(s)</w:t>
      </w:r>
      <w:r>
        <w:rPr>
          <w:b/>
          <w:bCs/>
          <w:color w:val="0F2744"/>
          <w:sz w:val="18"/>
          <w:szCs w:val="18"/>
        </w:rPr>
        <w:t xml:space="preserve"> [bewijs vereist]</w:t>
      </w:r>
    </w:p>
    <w:p>
      <w:pPr>
        <w:spacing w:after="60"/>
        <w:ind w:left="360"/>
      </w:pPr>
      <w:r>
        <w:rPr>
          <w:sz w:val="21"/>
          <w:szCs w:val="21"/>
        </w:rPr>
        <w:t xml:space="preserve">Verzending eerste melding via voorgeschreven kanalen, bevestiging ontvangen.</w:t>
      </w:r>
    </w:p>
    <w:p>
      <w:pPr>
        <w:pStyle w:val="ListParagraph"/>
        <w:numPr>
          <w:ilvl w:val="0"/>
          <w:numId w:val="2"/>
        </w:numPr>
        <w:spacing w:after="40"/>
      </w:pPr>
      <w:r>
        <w:rPr>
          <w:color w:val="595959"/>
          <w:sz w:val="20"/>
          <w:szCs w:val="20"/>
        </w:rPr>
        <w:t xml:space="preserve">Melding verstuurd binnen termijn</w:t>
      </w:r>
    </w:p>
    <w:p>
      <w:pPr>
        <w:pStyle w:val="ListParagraph"/>
        <w:numPr>
          <w:ilvl w:val="0"/>
          <w:numId w:val="2"/>
        </w:numPr>
        <w:spacing w:after="40"/>
      </w:pPr>
      <w:r>
        <w:rPr>
          <w:color w:val="595959"/>
          <w:sz w:val="20"/>
          <w:szCs w:val="20"/>
        </w:rPr>
        <w:t xml:space="preserve">Ontvangstbevestiging</w:t>
      </w:r>
    </w:p>
    <w:p>
      <w:pPr>
        <w:spacing w:after="60" w:before="120"/>
      </w:pPr>
      <w:r>
        <w:rPr>
          <w:b/>
          <w:bCs/>
          <w:sz w:val="22"/>
          <w:szCs w:val="22"/>
        </w:rPr>
        <w:t xml:space="preserve">4. Onderzoek, mitigatie en klantcommunicatie</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Diepgaand onderzoek, mitigerende maatregelen, klantcommunicatie waar relevant (bv. bij datalek).</w:t>
      </w:r>
    </w:p>
    <w:p>
      <w:pPr>
        <w:pStyle w:val="ListParagraph"/>
        <w:numPr>
          <w:ilvl w:val="0"/>
          <w:numId w:val="2"/>
        </w:numPr>
        <w:spacing w:after="40"/>
      </w:pPr>
      <w:r>
        <w:rPr>
          <w:color w:val="595959"/>
          <w:sz w:val="20"/>
          <w:szCs w:val="20"/>
        </w:rPr>
        <w:t xml:space="preserve">Onderzoeksrapport</w:t>
      </w:r>
    </w:p>
    <w:p>
      <w:pPr>
        <w:pStyle w:val="ListParagraph"/>
        <w:numPr>
          <w:ilvl w:val="0"/>
          <w:numId w:val="2"/>
        </w:numPr>
        <w:spacing w:after="40"/>
      </w:pPr>
      <w:r>
        <w:rPr>
          <w:color w:val="595959"/>
          <w:sz w:val="20"/>
          <w:szCs w:val="20"/>
        </w:rPr>
        <w:t xml:space="preserve">Maatregelenoverzicht</w:t>
      </w:r>
    </w:p>
    <w:p>
      <w:pPr>
        <w:pStyle w:val="ListParagraph"/>
        <w:numPr>
          <w:ilvl w:val="0"/>
          <w:numId w:val="2"/>
        </w:numPr>
        <w:spacing w:after="40"/>
      </w:pPr>
      <w:r>
        <w:rPr>
          <w:color w:val="595959"/>
          <w:sz w:val="20"/>
          <w:szCs w:val="20"/>
        </w:rPr>
        <w:t xml:space="preserve">Klantcommunicatie verzonden indien nodig</w:t>
      </w:r>
    </w:p>
    <w:p>
      <w:pPr>
        <w:spacing w:after="60" w:before="120"/>
      </w:pPr>
      <w:r>
        <w:rPr>
          <w:b/>
          <w:bCs/>
          <w:sz w:val="22"/>
          <w:szCs w:val="22"/>
        </w:rPr>
        <w:t xml:space="preserve">5. Vervolgmelding en afsluiting</w:t>
      </w:r>
      <w:r>
        <w:rPr>
          <w:b/>
          <w:bCs/>
          <w:color w:val="0F2744"/>
          <w:sz w:val="18"/>
          <w:szCs w:val="18"/>
        </w:rPr>
        <w:t xml:space="preserve"> [bewijs vereist]</w:t>
      </w:r>
    </w:p>
    <w:p>
      <w:pPr>
        <w:spacing w:after="60"/>
        <w:ind w:left="360"/>
      </w:pPr>
      <w:r>
        <w:rPr>
          <w:sz w:val="21"/>
          <w:szCs w:val="21"/>
        </w:rPr>
        <w:t xml:space="preserve">Volledige vervolgmelding aan toezichthouder met root-cause en structurele maatregelen.</w:t>
      </w:r>
    </w:p>
    <w:p>
      <w:pPr>
        <w:pStyle w:val="ListParagraph"/>
        <w:numPr>
          <w:ilvl w:val="0"/>
          <w:numId w:val="2"/>
        </w:numPr>
        <w:spacing w:after="40"/>
      </w:pPr>
      <w:r>
        <w:rPr>
          <w:color w:val="595959"/>
          <w:sz w:val="20"/>
          <w:szCs w:val="20"/>
        </w:rPr>
        <w:t xml:space="preserve">Vervolgmelding verzonden</w:t>
      </w:r>
    </w:p>
    <w:p>
      <w:pPr>
        <w:pStyle w:val="ListParagraph"/>
        <w:numPr>
          <w:ilvl w:val="0"/>
          <w:numId w:val="2"/>
        </w:numPr>
        <w:spacing w:after="40"/>
      </w:pPr>
      <w:r>
        <w:rPr>
          <w:color w:val="595959"/>
          <w:sz w:val="20"/>
          <w:szCs w:val="20"/>
        </w:rPr>
        <w:t xml:space="preserve">Afsluitingsbevestiging</w:t>
      </w:r>
    </w:p>
    <w:p>
      <w:pPr>
        <w:spacing w:after="100" w:before="240"/>
      </w:pPr>
      <w:r>
        <w:rPr>
          <w:b/>
          <w:bCs/>
          <w:color w:val="0F2744"/>
          <w:sz w:val="24"/>
          <w:szCs w:val="24"/>
        </w:rPr>
        <w:t xml:space="preserve">Aandachtspunten en typische valkuilen</w:t>
      </w:r>
    </w:p>
    <w:p>
      <w:pPr>
        <w:spacing w:after="320"/>
      </w:pPr>
      <w:r>
        <w:rPr>
          <w:i/>
          <w:iCs/>
          <w:sz w:val="22"/>
          <w:szCs w:val="22"/>
        </w:rPr>
        <w:t xml:space="preserve">DNB en AFM hebben verschillende meldcriteria die soms overlap maar soms divergeren. Een incident-classificatieframework dat beide explicit benoemt voorkomt dubbele werk én voorkomt dat één toezichthouder per ongeluk wordt overgeslagen.</w:t>
      </w:r>
    </w:p>
    <w:p>
      <w:pPr>
        <w:pStyle w:val="Heading2"/>
      </w:pPr>
      <w:r>
        <w:t xml:space="preserve">Uitbestedingsbeleid en leveranciersreview</w:t>
      </w:r>
    </w:p>
    <w:p>
      <w:pPr>
        <w:spacing w:after="200"/>
      </w:pPr>
      <w:r>
        <w:rPr>
          <w:sz w:val="22"/>
          <w:szCs w:val="22"/>
        </w:rPr>
        <w:t xml:space="preserve">DNB Outsourcing Guidelines vereisen formeel uitbestedingsbeleid en periodieke beoordeling van kritieke uitbestedingen. Onder Wft is verzekeraar volledig verantwoordelijk voor uitbestede activiteiten.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Nieuwe uitbesteding boven drempel, periodieke beoordeling, incident bij leverancier</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Jaarlijks per kritieke uitbesteding; ad-hoc bij wijziging</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RvB, voorbereid door procurement en risk-functie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4-12 weken per review</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DNB Outsourcing Guidelines, Wft art. 3:18, EIOPA Guidelines on Outsourcing to Cloud</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Materialiteit- en kritikaliteitstoets</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Bepaal of uitbesteding kritisch is. Kritisch betekent zwaardere eisen aan due diligence en monitoring.</w:t>
      </w:r>
    </w:p>
    <w:p>
      <w:pPr>
        <w:pStyle w:val="ListParagraph"/>
        <w:numPr>
          <w:ilvl w:val="0"/>
          <w:numId w:val="2"/>
        </w:numPr>
        <w:spacing w:after="40"/>
      </w:pPr>
      <w:r>
        <w:rPr>
          <w:color w:val="595959"/>
          <w:sz w:val="20"/>
          <w:szCs w:val="20"/>
        </w:rPr>
        <w:t xml:space="preserve">Materialiteitsoordeel met onderbouwing</w:t>
      </w:r>
    </w:p>
    <w:p>
      <w:pPr>
        <w:pStyle w:val="ListParagraph"/>
        <w:numPr>
          <w:ilvl w:val="0"/>
          <w:numId w:val="2"/>
        </w:numPr>
        <w:spacing w:after="40"/>
      </w:pPr>
      <w:r>
        <w:rPr>
          <w:color w:val="595959"/>
          <w:sz w:val="20"/>
          <w:szCs w:val="20"/>
        </w:rPr>
        <w:t xml:space="preserve">Risico-categorisering</w:t>
      </w:r>
    </w:p>
    <w:p>
      <w:pPr>
        <w:spacing w:after="60" w:before="120"/>
      </w:pPr>
      <w:r>
        <w:rPr>
          <w:b/>
          <w:bCs/>
          <w:sz w:val="22"/>
          <w:szCs w:val="22"/>
        </w:rPr>
        <w:t xml:space="preserve">2. Due diligence leverancier</w:t>
      </w:r>
      <w:r>
        <w:rPr>
          <w:b/>
          <w:bCs/>
          <w:color w:val="0F2744"/>
          <w:sz w:val="18"/>
          <w:szCs w:val="18"/>
        </w:rPr>
        <w:t xml:space="preserve"> [bewijs vereist]</w:t>
      </w:r>
    </w:p>
    <w:p>
      <w:pPr>
        <w:spacing w:after="60"/>
        <w:ind w:left="360"/>
      </w:pPr>
      <w:r>
        <w:rPr>
          <w:sz w:val="21"/>
          <w:szCs w:val="21"/>
        </w:rPr>
        <w:t xml:space="preserve">Beoordeling financieel, operationeel, ICT-beveiliging, sub-uitbestedingen, exit-mogelijkheden.</w:t>
      </w:r>
    </w:p>
    <w:p>
      <w:pPr>
        <w:pStyle w:val="ListParagraph"/>
        <w:numPr>
          <w:ilvl w:val="0"/>
          <w:numId w:val="2"/>
        </w:numPr>
        <w:spacing w:after="40"/>
      </w:pPr>
      <w:r>
        <w:rPr>
          <w:color w:val="595959"/>
          <w:sz w:val="20"/>
          <w:szCs w:val="20"/>
        </w:rPr>
        <w:t xml:space="preserve">DD-rapport</w:t>
      </w:r>
    </w:p>
    <w:p>
      <w:pPr>
        <w:pStyle w:val="ListParagraph"/>
        <w:numPr>
          <w:ilvl w:val="0"/>
          <w:numId w:val="2"/>
        </w:numPr>
        <w:spacing w:after="40"/>
      </w:pPr>
      <w:r>
        <w:rPr>
          <w:color w:val="595959"/>
          <w:sz w:val="20"/>
          <w:szCs w:val="20"/>
        </w:rPr>
        <w:t xml:space="preserve">ISAE 3402 of equivalent</w:t>
      </w:r>
    </w:p>
    <w:p>
      <w:pPr>
        <w:pStyle w:val="ListParagraph"/>
        <w:numPr>
          <w:ilvl w:val="0"/>
          <w:numId w:val="2"/>
        </w:numPr>
        <w:spacing w:after="40"/>
      </w:pPr>
      <w:r>
        <w:rPr>
          <w:color w:val="595959"/>
          <w:sz w:val="20"/>
          <w:szCs w:val="20"/>
        </w:rPr>
        <w:t xml:space="preserve">Exit-strategie geanalyseerd</w:t>
      </w:r>
    </w:p>
    <w:p>
      <w:pPr>
        <w:spacing w:after="60" w:before="120"/>
      </w:pPr>
      <w:r>
        <w:rPr>
          <w:b/>
          <w:bCs/>
          <w:sz w:val="22"/>
          <w:szCs w:val="22"/>
        </w:rPr>
        <w:t xml:space="preserve">3. Contractering met DNB-conforme clausules</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Contracten moeten audit-rechten, sub-uitbesteding-beheersing, exit-clausules en informatieverplichtingen bevatten conform DNB-gids.</w:t>
      </w:r>
    </w:p>
    <w:p>
      <w:pPr>
        <w:pStyle w:val="ListParagraph"/>
        <w:numPr>
          <w:ilvl w:val="0"/>
          <w:numId w:val="2"/>
        </w:numPr>
        <w:spacing w:after="40"/>
      </w:pPr>
      <w:r>
        <w:rPr>
          <w:color w:val="595959"/>
          <w:sz w:val="20"/>
          <w:szCs w:val="20"/>
        </w:rPr>
        <w:t xml:space="preserve">Contract bevat verplichte clausules</w:t>
      </w:r>
    </w:p>
    <w:p>
      <w:pPr>
        <w:pStyle w:val="ListParagraph"/>
        <w:numPr>
          <w:ilvl w:val="0"/>
          <w:numId w:val="2"/>
        </w:numPr>
        <w:spacing w:after="40"/>
      </w:pPr>
      <w:r>
        <w:rPr>
          <w:color w:val="595959"/>
          <w:sz w:val="20"/>
          <w:szCs w:val="20"/>
        </w:rPr>
        <w:t xml:space="preserve">Juridische review afgerond</w:t>
      </w:r>
    </w:p>
    <w:p>
      <w:pPr>
        <w:spacing w:after="60" w:before="120"/>
      </w:pPr>
      <w:r>
        <w:rPr>
          <w:b/>
          <w:bCs/>
          <w:sz w:val="22"/>
          <w:szCs w:val="22"/>
        </w:rPr>
        <w:t xml:space="preserve">4. Operationele inrichting en monitoring</w:t>
      </w:r>
      <w:r>
        <w:rPr>
          <w:b/>
          <w:bCs/>
          <w:color w:val="0F2744"/>
          <w:sz w:val="18"/>
          <w:szCs w:val="18"/>
        </w:rPr>
        <w:t xml:space="preserve"> [bewijs vereist]</w:t>
      </w:r>
    </w:p>
    <w:p>
      <w:pPr>
        <w:spacing w:after="60"/>
        <w:ind w:left="360"/>
      </w:pPr>
      <w:r>
        <w:rPr>
          <w:sz w:val="21"/>
          <w:szCs w:val="21"/>
        </w:rPr>
        <w:t xml:space="preserve">SLA-monitoring, KPI-rapportages, periodiek-overleg, escalatieroute.</w:t>
      </w:r>
    </w:p>
    <w:p>
      <w:pPr>
        <w:pStyle w:val="ListParagraph"/>
        <w:numPr>
          <w:ilvl w:val="0"/>
          <w:numId w:val="2"/>
        </w:numPr>
        <w:spacing w:after="40"/>
      </w:pPr>
      <w:r>
        <w:rPr>
          <w:color w:val="595959"/>
          <w:sz w:val="20"/>
          <w:szCs w:val="20"/>
        </w:rPr>
        <w:t xml:space="preserve">SLA-rapportage-inrichting</w:t>
      </w:r>
    </w:p>
    <w:p>
      <w:pPr>
        <w:pStyle w:val="ListParagraph"/>
        <w:numPr>
          <w:ilvl w:val="0"/>
          <w:numId w:val="2"/>
        </w:numPr>
        <w:spacing w:after="40"/>
      </w:pPr>
      <w:r>
        <w:rPr>
          <w:color w:val="595959"/>
          <w:sz w:val="20"/>
          <w:szCs w:val="20"/>
        </w:rPr>
        <w:t xml:space="preserve">Vaste contactpersonen</w:t>
      </w:r>
    </w:p>
    <w:p>
      <w:pPr>
        <w:spacing w:after="60" w:before="120"/>
      </w:pPr>
      <w:r>
        <w:rPr>
          <w:b/>
          <w:bCs/>
          <w:sz w:val="22"/>
          <w:szCs w:val="22"/>
        </w:rPr>
        <w:t xml:space="preserve">5. Periodieke review en eventuele heroriëntatie</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Periodieke beoordeling van prestaties, contract-conformiteit en strategische fit. Eventueel heroriëntatie of marktverkenning.</w:t>
      </w:r>
    </w:p>
    <w:p>
      <w:pPr>
        <w:pStyle w:val="ListParagraph"/>
        <w:numPr>
          <w:ilvl w:val="0"/>
          <w:numId w:val="2"/>
        </w:numPr>
        <w:spacing w:after="40"/>
      </w:pPr>
      <w:r>
        <w:rPr>
          <w:color w:val="595959"/>
          <w:sz w:val="20"/>
          <w:szCs w:val="20"/>
        </w:rPr>
        <w:t xml:space="preserve">Reviewrapport</w:t>
      </w:r>
    </w:p>
    <w:p>
      <w:pPr>
        <w:pStyle w:val="ListParagraph"/>
        <w:numPr>
          <w:ilvl w:val="0"/>
          <w:numId w:val="2"/>
        </w:numPr>
        <w:spacing w:after="40"/>
      </w:pPr>
      <w:r>
        <w:rPr>
          <w:color w:val="595959"/>
          <w:sz w:val="20"/>
          <w:szCs w:val="20"/>
        </w:rPr>
        <w:t xml:space="preserve">Acties of heroriëntatie-besluit</w:t>
      </w:r>
    </w:p>
    <w:p>
      <w:pPr>
        <w:spacing w:after="100" w:before="240"/>
      </w:pPr>
      <w:r>
        <w:rPr>
          <w:b/>
          <w:bCs/>
          <w:color w:val="0F2744"/>
          <w:sz w:val="24"/>
          <w:szCs w:val="24"/>
        </w:rPr>
        <w:t xml:space="preserve">Aandachtspunten en typische valkuilen</w:t>
      </w:r>
    </w:p>
    <w:p>
      <w:pPr>
        <w:spacing w:after="320"/>
      </w:pPr>
      <w:r>
        <w:rPr>
          <w:i/>
          <w:iCs/>
          <w:sz w:val="22"/>
          <w:szCs w:val="22"/>
        </w:rPr>
        <w:t xml:space="preserve">Sub-uitbesteding is een veelvoorkomend blind spot. Veel cloud-leveranciers gebruiken zelf weer derden — zorg dat het contract sub-uitbesteding regelt en dat de keten transparant is. DNB onderzoekt expliciet het inzicht in de gehele uitbestedingsketen.</w:t>
      </w:r>
    </w:p>
    <w:p>
      <w:pPr>
        <w:pStyle w:val="Heading2"/>
      </w:pPr>
      <w:r>
        <w:t xml:space="preserve">Wwft-incident en sancties-procedure</w:t>
      </w:r>
    </w:p>
    <w:p>
      <w:pPr>
        <w:spacing w:after="200"/>
      </w:pPr>
      <w:r>
        <w:rPr>
          <w:sz w:val="22"/>
          <w:szCs w:val="22"/>
        </w:rPr>
        <w:t xml:space="preserve">Levensverzekeraars zijn Wwft-plichtig en moeten ongebruikelijke transacties melden bij de FIU. Daarnaast geldt voor alle verzekeraars sancties-screening en melding bij positieve treffer.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Ongebruikelijke transactie of positieve sanctie-screening-treffer</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 aanleiding</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Compliance-officer met escalatie naar RvB</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Spoed (uren) tot weken afhankelijk van complexiteit</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Wwft (Wet ter voorkoming van witwassen en financieren van terrorisme), Sanctiewet 1977, EU-sancties-regelingen</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Detectie en eerste classificatie</w:t>
      </w:r>
      <w:r>
        <w:rPr>
          <w:b/>
          <w:bCs/>
          <w:color w:val="0F2744"/>
          <w:sz w:val="18"/>
          <w:szCs w:val="18"/>
        </w:rPr>
        <w:t xml:space="preserve"> [bewijs vereist]</w:t>
      </w:r>
    </w:p>
    <w:p>
      <w:pPr>
        <w:spacing w:after="60"/>
        <w:ind w:left="360"/>
      </w:pPr>
      <w:r>
        <w:rPr>
          <w:sz w:val="21"/>
          <w:szCs w:val="21"/>
        </w:rPr>
        <w:t xml:space="preserve">Detectie via transactie-monitoring, sancties-screening of medewerker-melding. Eerste classificatie door compliance.</w:t>
      </w:r>
    </w:p>
    <w:p>
      <w:pPr>
        <w:pStyle w:val="ListParagraph"/>
        <w:numPr>
          <w:ilvl w:val="0"/>
          <w:numId w:val="2"/>
        </w:numPr>
        <w:spacing w:after="40"/>
      </w:pPr>
      <w:r>
        <w:rPr>
          <w:color w:val="595959"/>
          <w:sz w:val="20"/>
          <w:szCs w:val="20"/>
        </w:rPr>
        <w:t xml:space="preserve">Detectiebron</w:t>
      </w:r>
    </w:p>
    <w:p>
      <w:pPr>
        <w:pStyle w:val="ListParagraph"/>
        <w:numPr>
          <w:ilvl w:val="0"/>
          <w:numId w:val="2"/>
        </w:numPr>
        <w:spacing w:after="40"/>
      </w:pPr>
      <w:r>
        <w:rPr>
          <w:color w:val="595959"/>
          <w:sz w:val="20"/>
          <w:szCs w:val="20"/>
        </w:rPr>
        <w:t xml:space="preserve">Classificatie</w:t>
      </w:r>
    </w:p>
    <w:p>
      <w:pPr>
        <w:pStyle w:val="ListParagraph"/>
        <w:numPr>
          <w:ilvl w:val="0"/>
          <w:numId w:val="2"/>
        </w:numPr>
        <w:spacing w:after="40"/>
      </w:pPr>
      <w:r>
        <w:rPr>
          <w:color w:val="595959"/>
          <w:sz w:val="20"/>
          <w:szCs w:val="20"/>
        </w:rPr>
        <w:t xml:space="preserve">Tijdsstempel</w:t>
      </w:r>
    </w:p>
    <w:p>
      <w:pPr>
        <w:spacing w:after="60" w:before="120"/>
      </w:pPr>
      <w:r>
        <w:rPr>
          <w:b/>
          <w:bCs/>
          <w:sz w:val="22"/>
          <w:szCs w:val="22"/>
        </w:rPr>
        <w:t xml:space="preserve">2. Onderzoek en KYC-verdieping</w:t>
      </w:r>
      <w:r>
        <w:rPr>
          <w:b/>
          <w:bCs/>
          <w:color w:val="0F2744"/>
          <w:sz w:val="18"/>
          <w:szCs w:val="18"/>
        </w:rPr>
        <w:t xml:space="preserve"> [bewijs vereist]</w:t>
      </w:r>
    </w:p>
    <w:p>
      <w:pPr>
        <w:spacing w:after="60"/>
        <w:ind w:left="360"/>
      </w:pPr>
      <w:r>
        <w:rPr>
          <w:sz w:val="21"/>
          <w:szCs w:val="21"/>
        </w:rPr>
        <w:t xml:space="preserve">Verdiepend onderzoek naar klant, transactiepatroon en context. Aanvullende KYC-vragen.</w:t>
      </w:r>
    </w:p>
    <w:p>
      <w:pPr>
        <w:pStyle w:val="ListParagraph"/>
        <w:numPr>
          <w:ilvl w:val="0"/>
          <w:numId w:val="2"/>
        </w:numPr>
        <w:spacing w:after="40"/>
      </w:pPr>
      <w:r>
        <w:rPr>
          <w:color w:val="595959"/>
          <w:sz w:val="20"/>
          <w:szCs w:val="20"/>
        </w:rPr>
        <w:t xml:space="preserve">Onderzoeksdossier</w:t>
      </w:r>
    </w:p>
    <w:p>
      <w:pPr>
        <w:pStyle w:val="ListParagraph"/>
        <w:numPr>
          <w:ilvl w:val="0"/>
          <w:numId w:val="2"/>
        </w:numPr>
        <w:spacing w:after="40"/>
      </w:pPr>
      <w:r>
        <w:rPr>
          <w:color w:val="595959"/>
          <w:sz w:val="20"/>
          <w:szCs w:val="20"/>
        </w:rPr>
        <w:t xml:space="preserve">KYC-update</w:t>
      </w:r>
    </w:p>
    <w:p>
      <w:pPr>
        <w:spacing w:after="60" w:before="120"/>
      </w:pPr>
      <w:r>
        <w:rPr>
          <w:b/>
          <w:bCs/>
          <w:sz w:val="22"/>
          <w:szCs w:val="22"/>
        </w:rPr>
        <w:t xml:space="preserve">3. Beslissing meldenswaardigheid</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Compliance-officer of escalatie-comité besluit over melding aan FIU (Wwft) of bevriezingsmaatregel (sancties).</w:t>
      </w:r>
    </w:p>
    <w:p>
      <w:pPr>
        <w:pStyle w:val="ListParagraph"/>
        <w:numPr>
          <w:ilvl w:val="0"/>
          <w:numId w:val="2"/>
        </w:numPr>
        <w:spacing w:after="40"/>
      </w:pPr>
      <w:r>
        <w:rPr>
          <w:color w:val="595959"/>
          <w:sz w:val="20"/>
          <w:szCs w:val="20"/>
        </w:rPr>
        <w:t xml:space="preserve">Besluit met motivering</w:t>
      </w:r>
    </w:p>
    <w:p>
      <w:pPr>
        <w:pStyle w:val="ListParagraph"/>
        <w:numPr>
          <w:ilvl w:val="0"/>
          <w:numId w:val="2"/>
        </w:numPr>
        <w:spacing w:after="40"/>
      </w:pPr>
      <w:r>
        <w:rPr>
          <w:color w:val="595959"/>
          <w:sz w:val="20"/>
          <w:szCs w:val="20"/>
        </w:rPr>
        <w:t xml:space="preserve">Vier-ogen-principe gevolgd</w:t>
      </w:r>
    </w:p>
    <w:p>
      <w:pPr>
        <w:spacing w:after="60" w:before="120"/>
      </w:pPr>
      <w:r>
        <w:rPr>
          <w:b/>
          <w:bCs/>
          <w:sz w:val="22"/>
          <w:szCs w:val="22"/>
        </w:rPr>
        <w:t xml:space="preserve">4. FIU-melding en/of bevriezing</w:t>
      </w:r>
      <w:r>
        <w:rPr>
          <w:b/>
          <w:bCs/>
          <w:color w:val="0F2744"/>
          <w:sz w:val="18"/>
          <w:szCs w:val="18"/>
        </w:rPr>
        <w:t xml:space="preserve"> [bewijs vereist]</w:t>
      </w:r>
    </w:p>
    <w:p>
      <w:pPr>
        <w:spacing w:after="60"/>
        <w:ind w:left="360"/>
      </w:pPr>
      <w:r>
        <w:rPr>
          <w:sz w:val="21"/>
          <w:szCs w:val="21"/>
        </w:rPr>
        <w:t xml:space="preserve">Verzending FIU-melding via goAML of andere voorgeschreven manier; bij sanctie bevriezing van tegoeden en melding aan toezichthouder.</w:t>
      </w:r>
    </w:p>
    <w:p>
      <w:pPr>
        <w:pStyle w:val="ListParagraph"/>
        <w:numPr>
          <w:ilvl w:val="0"/>
          <w:numId w:val="2"/>
        </w:numPr>
        <w:spacing w:after="40"/>
      </w:pPr>
      <w:r>
        <w:rPr>
          <w:color w:val="595959"/>
          <w:sz w:val="20"/>
          <w:szCs w:val="20"/>
        </w:rPr>
        <w:t xml:space="preserve">FIU-meldingsbevestiging</w:t>
      </w:r>
    </w:p>
    <w:p>
      <w:pPr>
        <w:pStyle w:val="ListParagraph"/>
        <w:numPr>
          <w:ilvl w:val="0"/>
          <w:numId w:val="2"/>
        </w:numPr>
        <w:spacing w:after="40"/>
      </w:pPr>
      <w:r>
        <w:rPr>
          <w:color w:val="595959"/>
          <w:sz w:val="20"/>
          <w:szCs w:val="20"/>
        </w:rPr>
        <w:t xml:space="preserve">Bevriezingsbesluit gedocumenteerd</w:t>
      </w:r>
    </w:p>
    <w:p>
      <w:pPr>
        <w:spacing w:after="60" w:before="120"/>
      </w:pPr>
      <w:r>
        <w:rPr>
          <w:b/>
          <w:bCs/>
          <w:sz w:val="22"/>
          <w:szCs w:val="22"/>
        </w:rPr>
        <w:t xml:space="preserve">5. Klantmaatregelen en archivering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Eventuele relatiebeëindiging of beperking. Volledige archivering van het dossier.</w:t>
      </w:r>
    </w:p>
    <w:p>
      <w:pPr>
        <w:pStyle w:val="ListParagraph"/>
        <w:numPr>
          <w:ilvl w:val="0"/>
          <w:numId w:val="2"/>
        </w:numPr>
        <w:spacing w:after="40"/>
      </w:pPr>
      <w:r>
        <w:rPr>
          <w:color w:val="595959"/>
          <w:sz w:val="20"/>
          <w:szCs w:val="20"/>
        </w:rPr>
        <w:t xml:space="preserve">Klantbesluit</w:t>
      </w:r>
    </w:p>
    <w:p>
      <w:pPr>
        <w:pStyle w:val="ListParagraph"/>
        <w:numPr>
          <w:ilvl w:val="0"/>
          <w:numId w:val="2"/>
        </w:numPr>
        <w:spacing w:after="40"/>
      </w:pPr>
      <w:r>
        <w:rPr>
          <w:color w:val="595959"/>
          <w:sz w:val="20"/>
          <w:szCs w:val="20"/>
        </w:rPr>
        <w:t xml:space="preserve">Dossier gearchiveerd conform bewaartermijnen</w:t>
      </w:r>
    </w:p>
    <w:p>
      <w:pPr>
        <w:spacing w:after="100" w:before="240"/>
      </w:pPr>
      <w:r>
        <w:rPr>
          <w:b/>
          <w:bCs/>
          <w:color w:val="0F2744"/>
          <w:sz w:val="24"/>
          <w:szCs w:val="24"/>
        </w:rPr>
        <w:t xml:space="preserve">Aandachtspunten en typische valkuilen</w:t>
      </w:r>
    </w:p>
    <w:p>
      <w:pPr>
        <w:spacing w:after="320"/>
      </w:pPr>
      <w:r>
        <w:rPr>
          <w:i/>
          <w:iCs/>
          <w:sz w:val="22"/>
          <w:szCs w:val="22"/>
        </w:rPr>
        <w:t xml:space="preserve">Tipping off (tippen van de klant over een melding) is een strafbaar feit. Train alle medewerkers expliciet hierover. Een tweede valkuil is over- of ondermelding — een levensverzekeraar die nooit meldt is een rode vlag bij toezicht, terwijl een verzekeraar die alles meldt zijn detectie-systeem ondermijnt.</w:t>
      </w:r>
    </w:p>
    <w:p>
      <w:pPr>
        <w:pStyle w:val="Heading2"/>
      </w:pPr>
      <w:r>
        <w:t xml:space="preserve">Strategisch portefeuillebesluit (run-off, verkoop, acquisitie)</w:t>
      </w:r>
    </w:p>
    <w:p>
      <w:pPr>
        <w:spacing w:after="200"/>
      </w:pPr>
      <w:r>
        <w:rPr>
          <w:sz w:val="22"/>
          <w:szCs w:val="22"/>
        </w:rPr>
        <w:t xml:space="preserve">Materiële strategische besluiten zoals het in run-off plaatsen van een boek, verkoop van een verzekeringsportefeuille of acquisitie zijn de zwaarste bestuurlijke trajecten — met grote impact op klanten, medewerkers en kapitaalpositie.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Strategische heroriëntatie, kapitaaldruk, acquisitie-mogelijkheid</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Incidenteel (jaren tussen)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RvB, met intensieve betrokkenheid RvC</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9-24 maanden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Wft, Solvency II, Mededingingswet (bij acquisitie), DNB-goedkeuring vaak vereist</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Strategische voorbereiding en business case</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Onderbouwing van het strategische besluit met financiële, operationele en strategische analyse.</w:t>
      </w:r>
    </w:p>
    <w:p>
      <w:pPr>
        <w:pStyle w:val="ListParagraph"/>
        <w:numPr>
          <w:ilvl w:val="0"/>
          <w:numId w:val="2"/>
        </w:numPr>
        <w:spacing w:after="40"/>
      </w:pPr>
      <w:r>
        <w:rPr>
          <w:color w:val="595959"/>
          <w:sz w:val="20"/>
          <w:szCs w:val="20"/>
        </w:rPr>
        <w:t xml:space="preserve">Business case</w:t>
      </w:r>
    </w:p>
    <w:p>
      <w:pPr>
        <w:pStyle w:val="ListParagraph"/>
        <w:numPr>
          <w:ilvl w:val="0"/>
          <w:numId w:val="2"/>
        </w:numPr>
        <w:spacing w:after="40"/>
      </w:pPr>
      <w:r>
        <w:rPr>
          <w:color w:val="595959"/>
          <w:sz w:val="20"/>
          <w:szCs w:val="20"/>
        </w:rPr>
        <w:t xml:space="preserve">Scenario-analyse</w:t>
      </w:r>
    </w:p>
    <w:p>
      <w:pPr>
        <w:pStyle w:val="ListParagraph"/>
        <w:numPr>
          <w:ilvl w:val="0"/>
          <w:numId w:val="2"/>
        </w:numPr>
        <w:spacing w:after="40"/>
      </w:pPr>
      <w:r>
        <w:rPr>
          <w:color w:val="595959"/>
          <w:sz w:val="20"/>
          <w:szCs w:val="20"/>
        </w:rPr>
        <w:t xml:space="preserve">Stakeholder-impact-analyse</w:t>
      </w:r>
    </w:p>
    <w:p>
      <w:pPr>
        <w:spacing w:after="60" w:before="120"/>
      </w:pPr>
      <w:r>
        <w:rPr>
          <w:b/>
          <w:bCs/>
          <w:sz w:val="22"/>
          <w:szCs w:val="22"/>
        </w:rPr>
        <w:t xml:space="preserve">2. Mandatering en externe adviseurs</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Inschakelen van M&amp;A-adviseurs, juridische, fiscale en actuariële adviseurs. Mandaat van RvC.</w:t>
      </w:r>
    </w:p>
    <w:p>
      <w:pPr>
        <w:pStyle w:val="ListParagraph"/>
        <w:numPr>
          <w:ilvl w:val="0"/>
          <w:numId w:val="2"/>
        </w:numPr>
        <w:spacing w:after="40"/>
      </w:pPr>
      <w:r>
        <w:rPr>
          <w:color w:val="595959"/>
          <w:sz w:val="20"/>
          <w:szCs w:val="20"/>
        </w:rPr>
        <w:t xml:space="preserve">Adviseurs gecontracteerd</w:t>
      </w:r>
    </w:p>
    <w:p>
      <w:pPr>
        <w:pStyle w:val="ListParagraph"/>
        <w:numPr>
          <w:ilvl w:val="0"/>
          <w:numId w:val="2"/>
        </w:numPr>
        <w:spacing w:after="40"/>
      </w:pPr>
      <w:r>
        <w:rPr>
          <w:color w:val="595959"/>
          <w:sz w:val="20"/>
          <w:szCs w:val="20"/>
        </w:rPr>
        <w:t xml:space="preserve">RvC-mandaat</w:t>
      </w:r>
    </w:p>
    <w:p>
      <w:pPr>
        <w:spacing w:after="60" w:before="120"/>
      </w:pPr>
      <w:r>
        <w:rPr>
          <w:b/>
          <w:bCs/>
          <w:sz w:val="22"/>
          <w:szCs w:val="22"/>
        </w:rPr>
        <w:t xml:space="preserve">3. Marktbenadering of due diligence</w:t>
      </w:r>
      <w:r>
        <w:rPr>
          <w:b/>
          <w:bCs/>
          <w:color w:val="0F2744"/>
          <w:sz w:val="18"/>
          <w:szCs w:val="18"/>
        </w:rPr>
        <w:t xml:space="preserve"> [bewijs vereist]</w:t>
      </w:r>
    </w:p>
    <w:p>
      <w:pPr>
        <w:spacing w:after="60"/>
        <w:ind w:left="360"/>
      </w:pPr>
      <w:r>
        <w:rPr>
          <w:sz w:val="21"/>
          <w:szCs w:val="21"/>
        </w:rPr>
        <w:t xml:space="preserve">Bij verkoop: marktbenadering, ontvangst biedingen, due diligence-traject. Bij acquisitie: vendor due diligence, eigen analyse, biedstrategie.</w:t>
      </w:r>
    </w:p>
    <w:p>
      <w:pPr>
        <w:pStyle w:val="ListParagraph"/>
        <w:numPr>
          <w:ilvl w:val="0"/>
          <w:numId w:val="2"/>
        </w:numPr>
        <w:spacing w:after="40"/>
      </w:pPr>
      <w:r>
        <w:rPr>
          <w:color w:val="595959"/>
          <w:sz w:val="20"/>
          <w:szCs w:val="20"/>
        </w:rPr>
        <w:t xml:space="preserve">DD-rapporten</w:t>
      </w:r>
    </w:p>
    <w:p>
      <w:pPr>
        <w:pStyle w:val="ListParagraph"/>
        <w:numPr>
          <w:ilvl w:val="0"/>
          <w:numId w:val="2"/>
        </w:numPr>
        <w:spacing w:after="40"/>
      </w:pPr>
      <w:r>
        <w:rPr>
          <w:color w:val="595959"/>
          <w:sz w:val="20"/>
          <w:szCs w:val="20"/>
        </w:rPr>
        <w:t xml:space="preserve">Indicatieve biedingen</w:t>
      </w:r>
    </w:p>
    <w:p>
      <w:pPr>
        <w:spacing w:after="60" w:before="120"/>
      </w:pPr>
      <w:r>
        <w:rPr>
          <w:b/>
          <w:bCs/>
          <w:sz w:val="22"/>
          <w:szCs w:val="22"/>
        </w:rPr>
        <w:t xml:space="preserve">4. Onderhandeling en SPA</w:t>
      </w:r>
      <w:r>
        <w:rPr>
          <w:b/>
          <w:bCs/>
          <w:color w:val="0F2744"/>
          <w:sz w:val="18"/>
          <w:szCs w:val="18"/>
        </w:rPr>
        <w:t xml:space="preserve"> [bewijs vereist]</w:t>
      </w:r>
    </w:p>
    <w:p>
      <w:pPr>
        <w:spacing w:after="60"/>
        <w:ind w:left="360"/>
      </w:pPr>
      <w:r>
        <w:rPr>
          <w:sz w:val="21"/>
          <w:szCs w:val="21"/>
        </w:rPr>
        <w:t xml:space="preserve">Onderhandeling Sale and Purchase Agreement, garanties, vrijwaringen, prijsmechanisme.</w:t>
      </w:r>
    </w:p>
    <w:p>
      <w:pPr>
        <w:pStyle w:val="ListParagraph"/>
        <w:numPr>
          <w:ilvl w:val="0"/>
          <w:numId w:val="2"/>
        </w:numPr>
        <w:spacing w:after="40"/>
      </w:pPr>
      <w:r>
        <w:rPr>
          <w:color w:val="595959"/>
          <w:sz w:val="20"/>
          <w:szCs w:val="20"/>
        </w:rPr>
        <w:t xml:space="preserve">Concept-SPA</w:t>
      </w:r>
    </w:p>
    <w:p>
      <w:pPr>
        <w:pStyle w:val="ListParagraph"/>
        <w:numPr>
          <w:ilvl w:val="0"/>
          <w:numId w:val="2"/>
        </w:numPr>
        <w:spacing w:after="40"/>
      </w:pPr>
      <w:r>
        <w:rPr>
          <w:color w:val="595959"/>
          <w:sz w:val="20"/>
          <w:szCs w:val="20"/>
        </w:rPr>
        <w:t xml:space="preserve">Garantielijst</w:t>
      </w:r>
    </w:p>
    <w:p>
      <w:pPr>
        <w:spacing w:after="60" w:before="120"/>
      </w:pPr>
      <w:r>
        <w:rPr>
          <w:b/>
          <w:bCs/>
          <w:sz w:val="22"/>
          <w:szCs w:val="22"/>
        </w:rPr>
        <w:t xml:space="preserve">5. Bestuursbesluit en RvC-goedkeuring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Definitief besluit door RvB, formele goedkeuring RvC, dossier voor DNB-goedkeuringstraject.</w:t>
      </w:r>
    </w:p>
    <w:p>
      <w:pPr>
        <w:pStyle w:val="ListParagraph"/>
        <w:numPr>
          <w:ilvl w:val="0"/>
          <w:numId w:val="2"/>
        </w:numPr>
        <w:spacing w:after="40"/>
      </w:pPr>
      <w:r>
        <w:rPr>
          <w:color w:val="595959"/>
          <w:sz w:val="20"/>
          <w:szCs w:val="20"/>
        </w:rPr>
        <w:t xml:space="preserve">Definitief besluit</w:t>
      </w:r>
    </w:p>
    <w:p>
      <w:pPr>
        <w:pStyle w:val="ListParagraph"/>
        <w:numPr>
          <w:ilvl w:val="0"/>
          <w:numId w:val="2"/>
        </w:numPr>
        <w:spacing w:after="40"/>
      </w:pPr>
      <w:r>
        <w:rPr>
          <w:color w:val="595959"/>
          <w:sz w:val="20"/>
          <w:szCs w:val="20"/>
        </w:rPr>
        <w:t xml:space="preserve">RvC-goedkeuring</w:t>
      </w:r>
    </w:p>
    <w:p>
      <w:pPr>
        <w:spacing w:after="60" w:before="120"/>
      </w:pPr>
      <w:r>
        <w:rPr>
          <w:b/>
          <w:bCs/>
          <w:sz w:val="22"/>
          <w:szCs w:val="22"/>
        </w:rPr>
        <w:t xml:space="preserve">6. Toezichthouder-goedkeuring en closing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DNB-aanvraag, eventueel ACM-melding, conditions precedent voor closing. Daarna formele afronding.</w:t>
      </w:r>
    </w:p>
    <w:p>
      <w:pPr>
        <w:pStyle w:val="ListParagraph"/>
        <w:numPr>
          <w:ilvl w:val="0"/>
          <w:numId w:val="2"/>
        </w:numPr>
        <w:spacing w:after="40"/>
      </w:pPr>
      <w:r>
        <w:rPr>
          <w:color w:val="595959"/>
          <w:sz w:val="20"/>
          <w:szCs w:val="20"/>
        </w:rPr>
        <w:t xml:space="preserve">DNB-goedkeuring</w:t>
      </w:r>
    </w:p>
    <w:p>
      <w:pPr>
        <w:pStyle w:val="ListParagraph"/>
        <w:numPr>
          <w:ilvl w:val="0"/>
          <w:numId w:val="2"/>
        </w:numPr>
        <w:spacing w:after="40"/>
      </w:pPr>
      <w:r>
        <w:rPr>
          <w:color w:val="595959"/>
          <w:sz w:val="20"/>
          <w:szCs w:val="20"/>
        </w:rPr>
        <w:t xml:space="preserve">ACM-meldingen waar nodig</w:t>
      </w:r>
    </w:p>
    <w:p>
      <w:pPr>
        <w:pStyle w:val="ListParagraph"/>
        <w:numPr>
          <w:ilvl w:val="0"/>
          <w:numId w:val="2"/>
        </w:numPr>
        <w:spacing w:after="40"/>
      </w:pPr>
      <w:r>
        <w:rPr>
          <w:color w:val="595959"/>
          <w:sz w:val="20"/>
          <w:szCs w:val="20"/>
        </w:rPr>
        <w:t xml:space="preserve">Closing-bevestiging</w:t>
      </w:r>
    </w:p>
    <w:p>
      <w:pPr>
        <w:spacing w:after="60" w:before="120"/>
      </w:pPr>
      <w:r>
        <w:rPr>
          <w:b/>
          <w:bCs/>
          <w:sz w:val="22"/>
          <w:szCs w:val="22"/>
        </w:rPr>
        <w:t xml:space="preserve">7. Implementatie en stakeholder-communicatie</w:t>
      </w:r>
      <w:r>
        <w:rPr>
          <w:b/>
          <w:bCs/>
          <w:color w:val="0F2744"/>
          <w:sz w:val="18"/>
          <w:szCs w:val="18"/>
        </w:rPr>
        <w:t xml:space="preserve"> [bewijs vereist]</w:t>
      </w:r>
    </w:p>
    <w:p>
      <w:pPr>
        <w:spacing w:after="60"/>
        <w:ind w:left="360"/>
      </w:pPr>
      <w:r>
        <w:rPr>
          <w:sz w:val="21"/>
          <w:szCs w:val="21"/>
        </w:rPr>
        <w:t xml:space="preserve">Operationele implementatie, klant- en medewerkerscommunicatie, integratie- of separatie-plan.</w:t>
      </w:r>
    </w:p>
    <w:p>
      <w:pPr>
        <w:pStyle w:val="ListParagraph"/>
        <w:numPr>
          <w:ilvl w:val="0"/>
          <w:numId w:val="2"/>
        </w:numPr>
        <w:spacing w:after="40"/>
      </w:pPr>
      <w:r>
        <w:rPr>
          <w:color w:val="595959"/>
          <w:sz w:val="20"/>
          <w:szCs w:val="20"/>
        </w:rPr>
        <w:t xml:space="preserve">Communicatieplan uitgevoerd</w:t>
      </w:r>
    </w:p>
    <w:p>
      <w:pPr>
        <w:pStyle w:val="ListParagraph"/>
        <w:numPr>
          <w:ilvl w:val="0"/>
          <w:numId w:val="2"/>
        </w:numPr>
        <w:spacing w:after="40"/>
      </w:pPr>
      <w:r>
        <w:rPr>
          <w:color w:val="595959"/>
          <w:sz w:val="20"/>
          <w:szCs w:val="20"/>
        </w:rPr>
        <w:t xml:space="preserve">Integratie- of separatie-rapportage</w:t>
      </w:r>
    </w:p>
    <w:p>
      <w:pPr>
        <w:spacing w:after="100" w:before="240"/>
      </w:pPr>
      <w:r>
        <w:rPr>
          <w:b/>
          <w:bCs/>
          <w:color w:val="0F2744"/>
          <w:sz w:val="24"/>
          <w:szCs w:val="24"/>
        </w:rPr>
        <w:t xml:space="preserve">Aandachtspunten en typische valkuilen</w:t>
      </w:r>
    </w:p>
    <w:p>
      <w:pPr>
        <w:spacing w:after="320"/>
      </w:pPr>
      <w:r>
        <w:rPr>
          <w:i/>
          <w:iCs/>
          <w:sz w:val="22"/>
          <w:szCs w:val="22"/>
        </w:rPr>
        <w:t xml:space="preserve">De fase tussen 'principe-besluit' en 'definitief besluit' is waar de meeste deals stranden. Stakeholders raken geïnformeerd via geruchten, sleutelpersonen vertrekken, en het deal-momentum verloopt. Goede vertrouwelijkheid en strakke communicatie-discipline zijn essentieel maar in praktijk moeilijk vol te houden.</w:t>
      </w:r>
    </w:p>
    <w:p>
      <w:r>
        <w:br w:type="page"/>
      </w:r>
    </w:p>
    <w:p>
      <w:pPr>
        <w:pStyle w:val="Heading1"/>
      </w:pPr>
      <w:r>
        <w:t xml:space="preserve">Woningcorporaties</w:t>
      </w:r>
    </w:p>
    <w:p>
      <w:pPr>
        <w:spacing w:after="240"/>
      </w:pPr>
      <w:r>
        <w:rPr>
          <w:sz w:val="22"/>
          <w:szCs w:val="22"/>
        </w:rPr>
        <w:t xml:space="preserve">De Woningwet 2015 (en de herziening van 2022) is dominant, samen met toezicht door de Autoriteit Woningcorporaties (Aw) en het Waarborgfonds Sociale Woningbouw (WSW). De Raad van Commissarissen heeft een sterk goedkeuringsmandaat boven drempelbedragen. De erfenis van de derivatenschandalen maakt treasury en investeringsbesluiten extra streng. De acht uitgewerkte procedures dekken de meest impactvolle bestuurlijke trajecten in deze sector.</w:t>
      </w:r>
    </w:p>
    <w:p>
      <w:pPr>
        <w:pStyle w:val="Heading2"/>
      </w:pPr>
      <w:r>
        <w:t xml:space="preserve">Investeringsbesluit nieuwbouw of grote renovatie</w:t>
      </w:r>
    </w:p>
    <w:p>
      <w:pPr>
        <w:spacing w:after="200"/>
      </w:pPr>
      <w:r>
        <w:rPr>
          <w:sz w:val="22"/>
          <w:szCs w:val="22"/>
        </w:rPr>
        <w:t xml:space="preserve">Investeringen boven RvC-drempel (vaak EUR 5-25 miljoen) vereisen een formele besluitvormingsroute met businesscase, financieringsplan, WSW-borging en operationele uitvoering. Door de erfenis van eerdere corporatiecrises kijkt de RvC streng mee op risicobeheer.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Voorgenomen nieuwbouw- of renovatieproject boven drempelbedrag</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Variabel; bij actieve corporaties meerdere keren per jaar</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met goedkeuring RvC en financieringsroute via WSW</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6-18 maanden van initiatie tot besluit, jaren tot oplevering</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Woningwet 2015, BTIV, Beleidsregels Aw, WSW-borgingsbeleid, gemeentelijk bestemmingsplan</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Initiatieffase en quickscan</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Eerste verkenning van de mogelijkheid, ruwe businesscase, aansluiting op SVB en gemeentelijke prestatieafspraken.</w:t>
      </w:r>
    </w:p>
    <w:p>
      <w:pPr>
        <w:pStyle w:val="ListParagraph"/>
        <w:numPr>
          <w:ilvl w:val="0"/>
          <w:numId w:val="2"/>
        </w:numPr>
        <w:spacing w:after="40"/>
      </w:pPr>
      <w:r>
        <w:rPr>
          <w:color w:val="595959"/>
          <w:sz w:val="20"/>
          <w:szCs w:val="20"/>
        </w:rPr>
        <w:t xml:space="preserve">Initiatiefnotitie</w:t>
      </w:r>
    </w:p>
    <w:p>
      <w:pPr>
        <w:pStyle w:val="ListParagraph"/>
        <w:numPr>
          <w:ilvl w:val="0"/>
          <w:numId w:val="2"/>
        </w:numPr>
        <w:spacing w:after="40"/>
      </w:pPr>
      <w:r>
        <w:rPr>
          <w:color w:val="595959"/>
          <w:sz w:val="20"/>
          <w:szCs w:val="20"/>
        </w:rPr>
        <w:t xml:space="preserve">Quickscan-businesscase</w:t>
      </w:r>
    </w:p>
    <w:p>
      <w:pPr>
        <w:pStyle w:val="ListParagraph"/>
        <w:numPr>
          <w:ilvl w:val="0"/>
          <w:numId w:val="2"/>
        </w:numPr>
        <w:spacing w:after="40"/>
      </w:pPr>
      <w:r>
        <w:rPr>
          <w:color w:val="595959"/>
          <w:sz w:val="20"/>
          <w:szCs w:val="20"/>
        </w:rPr>
        <w:t xml:space="preserve">Aansluiting op SVB en prestatieafspraken</w:t>
      </w:r>
    </w:p>
    <w:p>
      <w:pPr>
        <w:spacing w:after="60" w:before="120"/>
      </w:pPr>
      <w:r>
        <w:rPr>
          <w:b/>
          <w:bCs/>
          <w:sz w:val="22"/>
          <w:szCs w:val="22"/>
        </w:rPr>
        <w:t xml:space="preserve">2. Haalbaarheidsstudie en kostenraming</w:t>
      </w:r>
      <w:r>
        <w:rPr>
          <w:b/>
          <w:bCs/>
          <w:color w:val="0F2744"/>
          <w:sz w:val="18"/>
          <w:szCs w:val="18"/>
        </w:rPr>
        <w:t xml:space="preserve"> [bewijs vereist]</w:t>
      </w:r>
    </w:p>
    <w:p>
      <w:pPr>
        <w:spacing w:after="60"/>
        <w:ind w:left="360"/>
      </w:pPr>
      <w:r>
        <w:rPr>
          <w:sz w:val="21"/>
          <w:szCs w:val="21"/>
        </w:rPr>
        <w:t xml:space="preserve">Diepgaande haalbaarheidsstudie met technische, planologische en financiële analyse.</w:t>
      </w:r>
    </w:p>
    <w:p>
      <w:pPr>
        <w:pStyle w:val="ListParagraph"/>
        <w:numPr>
          <w:ilvl w:val="0"/>
          <w:numId w:val="2"/>
        </w:numPr>
        <w:spacing w:after="40"/>
      </w:pPr>
      <w:r>
        <w:rPr>
          <w:color w:val="595959"/>
          <w:sz w:val="20"/>
          <w:szCs w:val="20"/>
        </w:rPr>
        <w:t xml:space="preserve">Haalbaarheidsrapport</w:t>
      </w:r>
    </w:p>
    <w:p>
      <w:pPr>
        <w:pStyle w:val="ListParagraph"/>
        <w:numPr>
          <w:ilvl w:val="0"/>
          <w:numId w:val="2"/>
        </w:numPr>
        <w:spacing w:after="40"/>
      </w:pPr>
      <w:r>
        <w:rPr>
          <w:color w:val="595959"/>
          <w:sz w:val="20"/>
          <w:szCs w:val="20"/>
        </w:rPr>
        <w:t xml:space="preserve">Kostenraming met onzekerheidsmarge</w:t>
      </w:r>
    </w:p>
    <w:p>
      <w:pPr>
        <w:pStyle w:val="ListParagraph"/>
        <w:numPr>
          <w:ilvl w:val="0"/>
          <w:numId w:val="2"/>
        </w:numPr>
        <w:spacing w:after="40"/>
      </w:pPr>
      <w:r>
        <w:rPr>
          <w:color w:val="595959"/>
          <w:sz w:val="20"/>
          <w:szCs w:val="20"/>
        </w:rPr>
        <w:t xml:space="preserve">Risico-analyse</w:t>
      </w:r>
    </w:p>
    <w:p>
      <w:pPr>
        <w:spacing w:after="60" w:before="120"/>
      </w:pPr>
      <w:r>
        <w:rPr>
          <w:b/>
          <w:bCs/>
          <w:sz w:val="22"/>
          <w:szCs w:val="22"/>
        </w:rPr>
        <w:t xml:space="preserve">3. Financieringsstrategie en WSW-borgingsverzoek</w:t>
      </w:r>
      <w:r>
        <w:rPr>
          <w:b/>
          <w:bCs/>
          <w:color w:val="0F2744"/>
          <w:sz w:val="18"/>
          <w:szCs w:val="18"/>
        </w:rPr>
        <w:t xml:space="preserve"> [bewijs vereist]</w:t>
      </w:r>
    </w:p>
    <w:p>
      <w:pPr>
        <w:spacing w:after="60"/>
        <w:ind w:left="360"/>
      </w:pPr>
      <w:r>
        <w:rPr>
          <w:sz w:val="21"/>
          <w:szCs w:val="21"/>
        </w:rPr>
        <w:t xml:space="preserve">Bepaling financieringsmix, indiening borgingsverzoek bij WSW.</w:t>
      </w:r>
    </w:p>
    <w:p>
      <w:pPr>
        <w:pStyle w:val="ListParagraph"/>
        <w:numPr>
          <w:ilvl w:val="0"/>
          <w:numId w:val="2"/>
        </w:numPr>
        <w:spacing w:after="40"/>
      </w:pPr>
      <w:r>
        <w:rPr>
          <w:color w:val="595959"/>
          <w:sz w:val="20"/>
          <w:szCs w:val="20"/>
        </w:rPr>
        <w:t xml:space="preserve">Financieringsplan</w:t>
      </w:r>
    </w:p>
    <w:p>
      <w:pPr>
        <w:pStyle w:val="ListParagraph"/>
        <w:numPr>
          <w:ilvl w:val="0"/>
          <w:numId w:val="2"/>
        </w:numPr>
        <w:spacing w:after="40"/>
      </w:pPr>
      <w:r>
        <w:rPr>
          <w:color w:val="595959"/>
          <w:sz w:val="20"/>
          <w:szCs w:val="20"/>
        </w:rPr>
        <w:t xml:space="preserve">WSW-borgingsverzoek ingediend</w:t>
      </w:r>
    </w:p>
    <w:p>
      <w:pPr>
        <w:spacing w:after="60" w:before="120"/>
      </w:pPr>
      <w:r>
        <w:rPr>
          <w:b/>
          <w:bCs/>
          <w:sz w:val="22"/>
          <w:szCs w:val="22"/>
        </w:rPr>
        <w:t xml:space="preserve">4. Voorgenomen besluit en RvC-bespreking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formuleert voorgenomen besluit, RvC bespreekt en stelt aanvullende vragen.</w:t>
      </w:r>
    </w:p>
    <w:p>
      <w:pPr>
        <w:pStyle w:val="ListParagraph"/>
        <w:numPr>
          <w:ilvl w:val="0"/>
          <w:numId w:val="2"/>
        </w:numPr>
        <w:spacing w:after="40"/>
      </w:pPr>
      <w:r>
        <w:rPr>
          <w:color w:val="595959"/>
          <w:sz w:val="20"/>
          <w:szCs w:val="20"/>
        </w:rPr>
        <w:t xml:space="preserve">Voorgenomen besluitdocument</w:t>
      </w:r>
    </w:p>
    <w:p>
      <w:pPr>
        <w:pStyle w:val="ListParagraph"/>
        <w:numPr>
          <w:ilvl w:val="0"/>
          <w:numId w:val="2"/>
        </w:numPr>
        <w:spacing w:after="40"/>
      </w:pPr>
      <w:r>
        <w:rPr>
          <w:color w:val="595959"/>
          <w:sz w:val="20"/>
          <w:szCs w:val="20"/>
        </w:rPr>
        <w:t xml:space="preserve">RvC-vergadernotulen</w:t>
      </w:r>
    </w:p>
    <w:p>
      <w:pPr>
        <w:spacing w:after="60" w:before="120"/>
      </w:pPr>
      <w:r>
        <w:rPr>
          <w:b/>
          <w:bCs/>
          <w:sz w:val="22"/>
          <w:szCs w:val="22"/>
        </w:rPr>
        <w:t xml:space="preserve">5. Definitief investeringsbesluit</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neemt definitief besluit, RvC verleent goedkeuring boven drempel.</w:t>
      </w:r>
    </w:p>
    <w:p>
      <w:pPr>
        <w:pStyle w:val="ListParagraph"/>
        <w:numPr>
          <w:ilvl w:val="0"/>
          <w:numId w:val="2"/>
        </w:numPr>
        <w:spacing w:after="40"/>
      </w:pPr>
      <w:r>
        <w:rPr>
          <w:color w:val="595959"/>
          <w:sz w:val="20"/>
          <w:szCs w:val="20"/>
        </w:rPr>
        <w:t xml:space="preserve">Definitief besluitdocument</w:t>
      </w:r>
    </w:p>
    <w:p>
      <w:pPr>
        <w:pStyle w:val="ListParagraph"/>
        <w:numPr>
          <w:ilvl w:val="0"/>
          <w:numId w:val="2"/>
        </w:numPr>
        <w:spacing w:after="40"/>
      </w:pPr>
      <w:r>
        <w:rPr>
          <w:color w:val="595959"/>
          <w:sz w:val="20"/>
          <w:szCs w:val="20"/>
        </w:rPr>
        <w:t xml:space="preserve">RvC-goedkeuringsbesluit</w:t>
      </w:r>
    </w:p>
    <w:p>
      <w:pPr>
        <w:pStyle w:val="ListParagraph"/>
        <w:numPr>
          <w:ilvl w:val="0"/>
          <w:numId w:val="2"/>
        </w:numPr>
        <w:spacing w:after="40"/>
      </w:pPr>
      <w:r>
        <w:rPr>
          <w:color w:val="595959"/>
          <w:sz w:val="20"/>
          <w:szCs w:val="20"/>
        </w:rPr>
        <w:t xml:space="preserve">Aw-melding waar van toepassing</w:t>
      </w:r>
    </w:p>
    <w:p>
      <w:pPr>
        <w:spacing w:after="60" w:before="120"/>
      </w:pPr>
      <w:r>
        <w:rPr>
          <w:b/>
          <w:bCs/>
          <w:sz w:val="22"/>
          <w:szCs w:val="22"/>
        </w:rPr>
        <w:t xml:space="preserve">6. Aanbesteding en gunning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Aanbestedingsprocedure, beoordeling inschrijvingen, gunning aan aannemer.</w:t>
      </w:r>
    </w:p>
    <w:p>
      <w:pPr>
        <w:pStyle w:val="ListParagraph"/>
        <w:numPr>
          <w:ilvl w:val="0"/>
          <w:numId w:val="2"/>
        </w:numPr>
        <w:spacing w:after="40"/>
      </w:pPr>
      <w:r>
        <w:rPr>
          <w:color w:val="595959"/>
          <w:sz w:val="20"/>
          <w:szCs w:val="20"/>
        </w:rPr>
        <w:t xml:space="preserve">Aanbestedingsdocument</w:t>
      </w:r>
    </w:p>
    <w:p>
      <w:pPr>
        <w:pStyle w:val="ListParagraph"/>
        <w:numPr>
          <w:ilvl w:val="0"/>
          <w:numId w:val="2"/>
        </w:numPr>
        <w:spacing w:after="40"/>
      </w:pPr>
      <w:r>
        <w:rPr>
          <w:color w:val="595959"/>
          <w:sz w:val="20"/>
          <w:szCs w:val="20"/>
        </w:rPr>
        <w:t xml:space="preserve">Beoordelingsverslag</w:t>
      </w:r>
    </w:p>
    <w:p>
      <w:pPr>
        <w:pStyle w:val="ListParagraph"/>
        <w:numPr>
          <w:ilvl w:val="0"/>
          <w:numId w:val="2"/>
        </w:numPr>
        <w:spacing w:after="40"/>
      </w:pPr>
      <w:r>
        <w:rPr>
          <w:color w:val="595959"/>
          <w:sz w:val="20"/>
          <w:szCs w:val="20"/>
        </w:rPr>
        <w:t xml:space="preserve">Gunningsbesluit</w:t>
      </w:r>
    </w:p>
    <w:p>
      <w:pPr>
        <w:spacing w:after="60" w:before="120"/>
      </w:pPr>
      <w:r>
        <w:rPr>
          <w:b/>
          <w:bCs/>
          <w:sz w:val="22"/>
          <w:szCs w:val="22"/>
        </w:rPr>
        <w:t xml:space="preserve">7. Uitvoering, voortgangsrapportage en oplevering</w:t>
      </w:r>
      <w:r>
        <w:rPr>
          <w:b/>
          <w:bCs/>
          <w:color w:val="0F2744"/>
          <w:sz w:val="18"/>
          <w:szCs w:val="18"/>
        </w:rPr>
        <w:t xml:space="preserve"> [bewijs vereist]</w:t>
      </w:r>
    </w:p>
    <w:p>
      <w:pPr>
        <w:spacing w:after="60"/>
        <w:ind w:left="360"/>
      </w:pPr>
      <w:r>
        <w:rPr>
          <w:sz w:val="21"/>
          <w:szCs w:val="21"/>
        </w:rPr>
        <w:t xml:space="preserve">Uitvoering met periodieke voortgangs- en risicorapportage aan bestuur en RvC. Oplevering en eindafrekening.</w:t>
      </w:r>
    </w:p>
    <w:p>
      <w:pPr>
        <w:pStyle w:val="ListParagraph"/>
        <w:numPr>
          <w:ilvl w:val="0"/>
          <w:numId w:val="2"/>
        </w:numPr>
        <w:spacing w:after="40"/>
      </w:pPr>
      <w:r>
        <w:rPr>
          <w:color w:val="595959"/>
          <w:sz w:val="20"/>
          <w:szCs w:val="20"/>
        </w:rPr>
        <w:t xml:space="preserve">Periodieke voortgangsrapportages</w:t>
      </w:r>
    </w:p>
    <w:p>
      <w:pPr>
        <w:pStyle w:val="ListParagraph"/>
        <w:numPr>
          <w:ilvl w:val="0"/>
          <w:numId w:val="2"/>
        </w:numPr>
        <w:spacing w:after="40"/>
      </w:pPr>
      <w:r>
        <w:rPr>
          <w:color w:val="595959"/>
          <w:sz w:val="20"/>
          <w:szCs w:val="20"/>
        </w:rPr>
        <w:t xml:space="preserve">Oplevercheck en eindafrekening</w:t>
      </w:r>
    </w:p>
    <w:p>
      <w:pPr>
        <w:pStyle w:val="ListParagraph"/>
        <w:numPr>
          <w:ilvl w:val="0"/>
          <w:numId w:val="2"/>
        </w:numPr>
        <w:spacing w:after="40"/>
      </w:pPr>
      <w:r>
        <w:rPr>
          <w:color w:val="595959"/>
          <w:sz w:val="20"/>
          <w:szCs w:val="20"/>
        </w:rPr>
        <w:t xml:space="preserve">Lessons learned</w:t>
      </w:r>
    </w:p>
    <w:p>
      <w:pPr>
        <w:spacing w:after="100" w:before="240"/>
      </w:pPr>
      <w:r>
        <w:rPr>
          <w:b/>
          <w:bCs/>
          <w:color w:val="0F2744"/>
          <w:sz w:val="24"/>
          <w:szCs w:val="24"/>
        </w:rPr>
        <w:t xml:space="preserve">Aandachtspunten en typische valkuilen</w:t>
      </w:r>
    </w:p>
    <w:p>
      <w:pPr>
        <w:spacing w:after="320"/>
      </w:pPr>
      <w:r>
        <w:rPr>
          <w:i/>
          <w:iCs/>
          <w:sz w:val="22"/>
          <w:szCs w:val="22"/>
        </w:rPr>
        <w:t xml:space="preserve">Onderschat niet hoe lang het duurt tussen voorgenomen besluit en daadwerkelijke gunning — gemiddeld 12-18 maanden. In die periode kunnen bouwkosten 15-25% stijgen. Bouw expliciete kostenstijgings-buffers in de businesscase en heb een beslismoment ingebouwd om bij overschrijding terug te komen op het besluit, in plaats van impliciet door te zetten.</w:t>
      </w:r>
    </w:p>
    <w:p>
      <w:pPr>
        <w:pStyle w:val="Heading2"/>
      </w:pPr>
      <w:r>
        <w:t xml:space="preserve">Verkoopbesluit complexgewijs of aan zittende huurder</w:t>
      </w:r>
    </w:p>
    <w:p>
      <w:pPr>
        <w:spacing w:after="200"/>
      </w:pPr>
      <w:r>
        <w:rPr>
          <w:sz w:val="22"/>
          <w:szCs w:val="22"/>
        </w:rPr>
        <w:t xml:space="preserve">Verkoop van bezit kent strikte regels onder de Woningwet. Complexgewijze verkoop is altijd Aw-meldingsplichtig boven drempel; verkoop aan zittende huurders heeft specifieke regels rond bod en kortingsregelingen.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Strategische portefeuille-keuze, verzoek zittende huurder, gemeentelijke afspraak</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Variabel</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met goedkeuring RvC boven drempel</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3-12 maanden afhankelijk van type verkoop</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Woningwet 2015, BTIV, Aedes-richtlijn verkoop, Beleidsregels Aw verkoop sociale huurwoningen</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Aansluiting op strategisch voorraadbeleid</w:t>
      </w:r>
      <w:r>
        <w:rPr>
          <w:b/>
          <w:bCs/>
          <w:color w:val="0F2744"/>
          <w:sz w:val="18"/>
          <w:szCs w:val="18"/>
        </w:rPr>
        <w:t xml:space="preserve"> [bewijs vereist]</w:t>
      </w:r>
    </w:p>
    <w:p>
      <w:pPr>
        <w:spacing w:after="60"/>
        <w:ind w:left="360"/>
      </w:pPr>
      <w:r>
        <w:rPr>
          <w:sz w:val="21"/>
          <w:szCs w:val="21"/>
        </w:rPr>
        <w:t xml:space="preserve">Toets of verkoop past binnen strategisch voorraadbeleid en gemeentelijke prestatieafspraken.</w:t>
      </w:r>
    </w:p>
    <w:p>
      <w:pPr>
        <w:pStyle w:val="ListParagraph"/>
        <w:numPr>
          <w:ilvl w:val="0"/>
          <w:numId w:val="2"/>
        </w:numPr>
        <w:spacing w:after="40"/>
      </w:pPr>
      <w:r>
        <w:rPr>
          <w:color w:val="595959"/>
          <w:sz w:val="20"/>
          <w:szCs w:val="20"/>
        </w:rPr>
        <w:t xml:space="preserve">Aansluiting SVB</w:t>
      </w:r>
    </w:p>
    <w:p>
      <w:pPr>
        <w:pStyle w:val="ListParagraph"/>
        <w:numPr>
          <w:ilvl w:val="0"/>
          <w:numId w:val="2"/>
        </w:numPr>
        <w:spacing w:after="40"/>
      </w:pPr>
      <w:r>
        <w:rPr>
          <w:color w:val="595959"/>
          <w:sz w:val="20"/>
          <w:szCs w:val="20"/>
        </w:rPr>
        <w:t xml:space="preserve">Aansluiting prestatieafspraken</w:t>
      </w:r>
    </w:p>
    <w:p>
      <w:pPr>
        <w:spacing w:after="60" w:before="120"/>
      </w:pPr>
      <w:r>
        <w:rPr>
          <w:b/>
          <w:bCs/>
          <w:sz w:val="22"/>
          <w:szCs w:val="22"/>
        </w:rPr>
        <w:t xml:space="preserve">2. Taxatie en prijsbepaling</w:t>
      </w:r>
      <w:r>
        <w:rPr>
          <w:b/>
          <w:bCs/>
          <w:color w:val="0F2744"/>
          <w:sz w:val="18"/>
          <w:szCs w:val="18"/>
        </w:rPr>
        <w:t xml:space="preserve"> [bewijs vereist]</w:t>
      </w:r>
    </w:p>
    <w:p>
      <w:pPr>
        <w:spacing w:after="60"/>
        <w:ind w:left="360"/>
      </w:pPr>
      <w:r>
        <w:rPr>
          <w:sz w:val="21"/>
          <w:szCs w:val="21"/>
        </w:rPr>
        <w:t xml:space="preserve">Onafhankelijke taxatie. Bij verkoop aan zittende huurder: bepaling van eventuele Koopgarant of vergelijkbare regeling.</w:t>
      </w:r>
    </w:p>
    <w:p>
      <w:pPr>
        <w:pStyle w:val="ListParagraph"/>
        <w:numPr>
          <w:ilvl w:val="0"/>
          <w:numId w:val="2"/>
        </w:numPr>
        <w:spacing w:after="40"/>
      </w:pPr>
      <w:r>
        <w:rPr>
          <w:color w:val="595959"/>
          <w:sz w:val="20"/>
          <w:szCs w:val="20"/>
        </w:rPr>
        <w:t xml:space="preserve">Taxatierapport</w:t>
      </w:r>
    </w:p>
    <w:p>
      <w:pPr>
        <w:pStyle w:val="ListParagraph"/>
        <w:numPr>
          <w:ilvl w:val="0"/>
          <w:numId w:val="2"/>
        </w:numPr>
        <w:spacing w:after="40"/>
      </w:pPr>
      <w:r>
        <w:rPr>
          <w:color w:val="595959"/>
          <w:sz w:val="20"/>
          <w:szCs w:val="20"/>
        </w:rPr>
        <w:t xml:space="preserve">Prijsstrategie</w:t>
      </w:r>
    </w:p>
    <w:p>
      <w:pPr>
        <w:spacing w:after="60" w:before="120"/>
      </w:pPr>
      <w:r>
        <w:rPr>
          <w:b/>
          <w:bCs/>
          <w:sz w:val="22"/>
          <w:szCs w:val="22"/>
        </w:rPr>
        <w:t xml:space="preserve">3. Instemmingsroute (indien complexgewijs)</w:t>
      </w:r>
      <w:r>
        <w:rPr>
          <w:b/>
          <w:bCs/>
          <w:color w:val="0F2744"/>
          <w:sz w:val="18"/>
          <w:szCs w:val="18"/>
        </w:rPr>
        <w:t xml:space="preserve"> [bewijs vereist]</w:t>
      </w:r>
    </w:p>
    <w:p>
      <w:pPr>
        <w:spacing w:after="60"/>
        <w:ind w:left="360"/>
      </w:pPr>
      <w:r>
        <w:rPr>
          <w:sz w:val="21"/>
          <w:szCs w:val="21"/>
        </w:rPr>
        <w:t xml:space="preserve">Bij complexgewijze verkoop: instemming gemeente, instemming huurdersorganisatie, eventueel zienswijze provincie.</w:t>
      </w:r>
    </w:p>
    <w:p>
      <w:pPr>
        <w:pStyle w:val="ListParagraph"/>
        <w:numPr>
          <w:ilvl w:val="0"/>
          <w:numId w:val="2"/>
        </w:numPr>
        <w:spacing w:after="40"/>
      </w:pPr>
      <w:r>
        <w:rPr>
          <w:color w:val="595959"/>
          <w:sz w:val="20"/>
          <w:szCs w:val="20"/>
        </w:rPr>
        <w:t xml:space="preserve">Instemming gemeente</w:t>
      </w:r>
    </w:p>
    <w:p>
      <w:pPr>
        <w:pStyle w:val="ListParagraph"/>
        <w:numPr>
          <w:ilvl w:val="0"/>
          <w:numId w:val="2"/>
        </w:numPr>
        <w:spacing w:after="40"/>
      </w:pPr>
      <w:r>
        <w:rPr>
          <w:color w:val="595959"/>
          <w:sz w:val="20"/>
          <w:szCs w:val="20"/>
        </w:rPr>
        <w:t xml:space="preserve">Instemming huurdersorganisatie</w:t>
      </w:r>
    </w:p>
    <w:p>
      <w:pPr>
        <w:spacing w:after="60" w:before="120"/>
      </w:pPr>
      <w:r>
        <w:rPr>
          <w:b/>
          <w:bCs/>
          <w:sz w:val="22"/>
          <w:szCs w:val="22"/>
        </w:rPr>
        <w:t xml:space="preserve">4. Voorgenomen besluit en RvC-bespreking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stelt voorgenomen besluit op, bespreking in RvC.</w:t>
      </w:r>
    </w:p>
    <w:p>
      <w:pPr>
        <w:pStyle w:val="ListParagraph"/>
        <w:numPr>
          <w:ilvl w:val="0"/>
          <w:numId w:val="2"/>
        </w:numPr>
        <w:spacing w:after="40"/>
      </w:pPr>
      <w:r>
        <w:rPr>
          <w:color w:val="595959"/>
          <w:sz w:val="20"/>
          <w:szCs w:val="20"/>
        </w:rPr>
        <w:t xml:space="preserve">Voorgenomen besluit</w:t>
      </w:r>
    </w:p>
    <w:p>
      <w:pPr>
        <w:pStyle w:val="ListParagraph"/>
        <w:numPr>
          <w:ilvl w:val="0"/>
          <w:numId w:val="2"/>
        </w:numPr>
        <w:spacing w:after="40"/>
      </w:pPr>
      <w:r>
        <w:rPr>
          <w:color w:val="595959"/>
          <w:sz w:val="20"/>
          <w:szCs w:val="20"/>
        </w:rPr>
        <w:t xml:space="preserve">RvC-notulen</w:t>
      </w:r>
    </w:p>
    <w:p>
      <w:pPr>
        <w:spacing w:after="60" w:before="120"/>
      </w:pPr>
      <w:r>
        <w:rPr>
          <w:b/>
          <w:bCs/>
          <w:sz w:val="22"/>
          <w:szCs w:val="22"/>
        </w:rPr>
        <w:t xml:space="preserve">5. Aw-melding en wachttermijn</w:t>
      </w:r>
      <w:r>
        <w:rPr>
          <w:b/>
          <w:bCs/>
          <w:color w:val="0F2744"/>
          <w:sz w:val="18"/>
          <w:szCs w:val="18"/>
        </w:rPr>
        <w:t xml:space="preserve"> [bewijs vereist]</w:t>
      </w:r>
    </w:p>
    <w:p>
      <w:pPr>
        <w:spacing w:after="60"/>
        <w:ind w:left="360"/>
      </w:pPr>
      <w:r>
        <w:rPr>
          <w:sz w:val="21"/>
          <w:szCs w:val="21"/>
        </w:rPr>
        <w:t xml:space="preserve">Melding aan Autoriteit Woningcorporaties met wachttermijn voor eventuele zienswijze.</w:t>
      </w:r>
    </w:p>
    <w:p>
      <w:pPr>
        <w:pStyle w:val="ListParagraph"/>
        <w:numPr>
          <w:ilvl w:val="0"/>
          <w:numId w:val="2"/>
        </w:numPr>
        <w:spacing w:after="40"/>
      </w:pPr>
      <w:r>
        <w:rPr>
          <w:color w:val="595959"/>
          <w:sz w:val="20"/>
          <w:szCs w:val="20"/>
        </w:rPr>
        <w:t xml:space="preserve">Aw-melding ingediend</w:t>
      </w:r>
    </w:p>
    <w:p>
      <w:pPr>
        <w:pStyle w:val="ListParagraph"/>
        <w:numPr>
          <w:ilvl w:val="0"/>
          <w:numId w:val="2"/>
        </w:numPr>
        <w:spacing w:after="40"/>
      </w:pPr>
      <w:r>
        <w:rPr>
          <w:color w:val="595959"/>
          <w:sz w:val="20"/>
          <w:szCs w:val="20"/>
        </w:rPr>
        <w:t xml:space="preserve">Bevestiging Aw of zienswijze afgewacht</w:t>
      </w:r>
    </w:p>
    <w:p>
      <w:pPr>
        <w:spacing w:after="60" w:before="120"/>
      </w:pPr>
      <w:r>
        <w:rPr>
          <w:b/>
          <w:bCs/>
          <w:sz w:val="22"/>
          <w:szCs w:val="22"/>
        </w:rPr>
        <w:t xml:space="preserve">6. Definitief besluit en transactie-uitvoering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Definitief verkoopbesluit, koopovereenkomst, levering bij notaris.</w:t>
      </w:r>
    </w:p>
    <w:p>
      <w:pPr>
        <w:pStyle w:val="ListParagraph"/>
        <w:numPr>
          <w:ilvl w:val="0"/>
          <w:numId w:val="2"/>
        </w:numPr>
        <w:spacing w:after="40"/>
      </w:pPr>
      <w:r>
        <w:rPr>
          <w:color w:val="595959"/>
          <w:sz w:val="20"/>
          <w:szCs w:val="20"/>
        </w:rPr>
        <w:t xml:space="preserve">Definitief besluit</w:t>
      </w:r>
    </w:p>
    <w:p>
      <w:pPr>
        <w:pStyle w:val="ListParagraph"/>
        <w:numPr>
          <w:ilvl w:val="0"/>
          <w:numId w:val="2"/>
        </w:numPr>
        <w:spacing w:after="40"/>
      </w:pPr>
      <w:r>
        <w:rPr>
          <w:color w:val="595959"/>
          <w:sz w:val="20"/>
          <w:szCs w:val="20"/>
        </w:rPr>
        <w:t xml:space="preserve">Koopovereenkomst</w:t>
      </w:r>
    </w:p>
    <w:p>
      <w:pPr>
        <w:pStyle w:val="ListParagraph"/>
        <w:numPr>
          <w:ilvl w:val="0"/>
          <w:numId w:val="2"/>
        </w:numPr>
        <w:spacing w:after="40"/>
      </w:pPr>
      <w:r>
        <w:rPr>
          <w:color w:val="595959"/>
          <w:sz w:val="20"/>
          <w:szCs w:val="20"/>
        </w:rPr>
        <w:t xml:space="preserve">Notariële levering</w:t>
      </w:r>
    </w:p>
    <w:p>
      <w:pPr>
        <w:spacing w:after="100" w:before="240"/>
      </w:pPr>
      <w:r>
        <w:rPr>
          <w:b/>
          <w:bCs/>
          <w:color w:val="0F2744"/>
          <w:sz w:val="24"/>
          <w:szCs w:val="24"/>
        </w:rPr>
        <w:t xml:space="preserve">Aandachtspunten en typische valkuilen</w:t>
      </w:r>
    </w:p>
    <w:p>
      <w:pPr>
        <w:spacing w:after="320"/>
      </w:pPr>
      <w:r>
        <w:rPr>
          <w:i/>
          <w:iCs/>
          <w:sz w:val="22"/>
          <w:szCs w:val="22"/>
        </w:rPr>
        <w:t xml:space="preserve">Verkoop aan zittende huurders met regelingen zoals Koopgarant of Slimmer Kopen heeft langetermijn-implicaties (terugkoop-verplichting). Modeleer die verplichting expliciet op de balans en houd er rekening mee in latere besluiten. Ook: gemeentelijke instemming wordt steeds restrictiever — peil dit vroeg.</w:t>
      </w:r>
    </w:p>
    <w:p>
      <w:pPr>
        <w:pStyle w:val="Heading2"/>
      </w:pPr>
      <w:r>
        <w:t xml:space="preserve">WSW-borgingsverzoek</w:t>
      </w:r>
    </w:p>
    <w:p>
      <w:pPr>
        <w:spacing w:after="200"/>
      </w:pPr>
      <w:r>
        <w:rPr>
          <w:sz w:val="22"/>
          <w:szCs w:val="22"/>
        </w:rPr>
        <w:t xml:space="preserve">Het Waarborgfonds Sociale Woningbouw borgt leningen van corporaties. Voor elke geborgde lening loopt een formeel verzoek met financiële onderbouwing en risicokader. WSW past intensieve risicotoetsing toe.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Geplande financiering of herfinanciering boven drempel</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Cyclisch volgens financieringsplan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(CFO), met financieringscommissie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8-16 weken per verzoek</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Wet Toelating Woningcorporaties, WSW-borgingsbeleid en risicokader</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Voorbereiding meerjaren-financieringsplan</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Opstellen van actueel financieringsplan met geprognosticeerde geldbehoefte over de strategische horizon.</w:t>
      </w:r>
    </w:p>
    <w:p>
      <w:pPr>
        <w:pStyle w:val="ListParagraph"/>
        <w:numPr>
          <w:ilvl w:val="0"/>
          <w:numId w:val="2"/>
        </w:numPr>
        <w:spacing w:after="40"/>
      </w:pPr>
      <w:r>
        <w:rPr>
          <w:color w:val="595959"/>
          <w:sz w:val="20"/>
          <w:szCs w:val="20"/>
        </w:rPr>
        <w:t xml:space="preserve">Meerjaren-financieringsplan</w:t>
      </w:r>
    </w:p>
    <w:p>
      <w:pPr>
        <w:pStyle w:val="ListParagraph"/>
        <w:numPr>
          <w:ilvl w:val="0"/>
          <w:numId w:val="2"/>
        </w:numPr>
        <w:spacing w:after="40"/>
      </w:pPr>
      <w:r>
        <w:rPr>
          <w:color w:val="595959"/>
          <w:sz w:val="20"/>
          <w:szCs w:val="20"/>
        </w:rPr>
        <w:t xml:space="preserve">Aansluiting op investeringsplan</w:t>
      </w:r>
    </w:p>
    <w:p>
      <w:pPr>
        <w:spacing w:after="60" w:before="120"/>
      </w:pPr>
      <w:r>
        <w:rPr>
          <w:b/>
          <w:bCs/>
          <w:sz w:val="22"/>
          <w:szCs w:val="22"/>
        </w:rPr>
        <w:t xml:space="preserve">2. Indiening borgingsverzoek met onderbouwing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Verzoek met cashflow-projectie, ICR, DSCR, marktwaarde-analyse en risicotoets.</w:t>
      </w:r>
    </w:p>
    <w:p>
      <w:pPr>
        <w:pStyle w:val="ListParagraph"/>
        <w:numPr>
          <w:ilvl w:val="0"/>
          <w:numId w:val="2"/>
        </w:numPr>
        <w:spacing w:after="40"/>
      </w:pPr>
      <w:r>
        <w:rPr>
          <w:color w:val="595959"/>
          <w:sz w:val="20"/>
          <w:szCs w:val="20"/>
        </w:rPr>
        <w:t xml:space="preserve">WSW-aanvraagdocument</w:t>
      </w:r>
    </w:p>
    <w:p>
      <w:pPr>
        <w:pStyle w:val="ListParagraph"/>
        <w:numPr>
          <w:ilvl w:val="0"/>
          <w:numId w:val="2"/>
        </w:numPr>
        <w:spacing w:after="40"/>
      </w:pPr>
      <w:r>
        <w:rPr>
          <w:color w:val="595959"/>
          <w:sz w:val="20"/>
          <w:szCs w:val="20"/>
        </w:rPr>
        <w:t xml:space="preserve">Financiële onderbouwing</w:t>
      </w:r>
    </w:p>
    <w:p>
      <w:pPr>
        <w:spacing w:after="60" w:before="120"/>
      </w:pPr>
      <w:r>
        <w:rPr>
          <w:b/>
          <w:bCs/>
          <w:sz w:val="22"/>
          <w:szCs w:val="22"/>
        </w:rPr>
        <w:t xml:space="preserve">3. WSW-beoordeling en eventuele aanvullende vragen</w:t>
      </w:r>
      <w:r>
        <w:rPr>
          <w:b/>
          <w:bCs/>
          <w:color w:val="0F2744"/>
          <w:sz w:val="18"/>
          <w:szCs w:val="18"/>
        </w:rPr>
        <w:t xml:space="preserve"> [bewijs vereist]</w:t>
      </w:r>
    </w:p>
    <w:p>
      <w:pPr>
        <w:spacing w:after="60"/>
        <w:ind w:left="360"/>
      </w:pPr>
      <w:r>
        <w:rPr>
          <w:sz w:val="21"/>
          <w:szCs w:val="21"/>
        </w:rPr>
        <w:t xml:space="preserve">WSW beoordeelt aanvraag, kan aanvullende vragen stellen of voorwaarden opleggen.</w:t>
      </w:r>
    </w:p>
    <w:p>
      <w:pPr>
        <w:pStyle w:val="ListParagraph"/>
        <w:numPr>
          <w:ilvl w:val="0"/>
          <w:numId w:val="2"/>
        </w:numPr>
        <w:spacing w:after="40"/>
      </w:pPr>
      <w:r>
        <w:rPr>
          <w:color w:val="595959"/>
          <w:sz w:val="20"/>
          <w:szCs w:val="20"/>
        </w:rPr>
        <w:t xml:space="preserve">Beantwoording WSW-vragen</w:t>
      </w:r>
    </w:p>
    <w:p>
      <w:pPr>
        <w:spacing w:after="60" w:before="120"/>
      </w:pPr>
      <w:r>
        <w:rPr>
          <w:b/>
          <w:bCs/>
          <w:sz w:val="22"/>
          <w:szCs w:val="22"/>
        </w:rPr>
        <w:t xml:space="preserve">4. Borgingsbesluit ontvangen en condities verwerken</w:t>
      </w:r>
      <w:r>
        <w:rPr>
          <w:b/>
          <w:bCs/>
          <w:color w:val="0F2744"/>
          <w:sz w:val="18"/>
          <w:szCs w:val="18"/>
        </w:rPr>
        <w:t xml:space="preserve"> [bewijs vereist]</w:t>
      </w:r>
    </w:p>
    <w:p>
      <w:pPr>
        <w:spacing w:after="60"/>
        <w:ind w:left="360"/>
      </w:pPr>
      <w:r>
        <w:rPr>
          <w:sz w:val="21"/>
          <w:szCs w:val="21"/>
        </w:rPr>
        <w:t xml:space="preserve">WSW geeft borgingsbesluit met eventuele condities. Verwerking in de leningsdocumentatie.</w:t>
      </w:r>
    </w:p>
    <w:p>
      <w:pPr>
        <w:pStyle w:val="ListParagraph"/>
        <w:numPr>
          <w:ilvl w:val="0"/>
          <w:numId w:val="2"/>
        </w:numPr>
        <w:spacing w:after="40"/>
      </w:pPr>
      <w:r>
        <w:rPr>
          <w:color w:val="595959"/>
          <w:sz w:val="20"/>
          <w:szCs w:val="20"/>
        </w:rPr>
        <w:t xml:space="preserve">Borgingsbesluit</w:t>
      </w:r>
    </w:p>
    <w:p>
      <w:pPr>
        <w:pStyle w:val="ListParagraph"/>
        <w:numPr>
          <w:ilvl w:val="0"/>
          <w:numId w:val="2"/>
        </w:numPr>
        <w:spacing w:after="40"/>
      </w:pPr>
      <w:r>
        <w:rPr>
          <w:color w:val="595959"/>
          <w:sz w:val="20"/>
          <w:szCs w:val="20"/>
        </w:rPr>
        <w:t xml:space="preserve">Condities verwerkt in leningovereenkomst</w:t>
      </w:r>
    </w:p>
    <w:p>
      <w:pPr>
        <w:spacing w:after="60" w:before="120"/>
      </w:pPr>
      <w:r>
        <w:rPr>
          <w:b/>
          <w:bCs/>
          <w:sz w:val="22"/>
          <w:szCs w:val="22"/>
        </w:rPr>
        <w:t xml:space="preserve">5. Lening aantrekken en verantwoording</w:t>
      </w:r>
      <w:r>
        <w:rPr>
          <w:b/>
          <w:bCs/>
          <w:color w:val="0F2744"/>
          <w:sz w:val="18"/>
          <w:szCs w:val="18"/>
        </w:rPr>
        <w:t xml:space="preserve"> [bewijs vereist]</w:t>
      </w:r>
    </w:p>
    <w:p>
      <w:pPr>
        <w:spacing w:after="60"/>
        <w:ind w:left="360"/>
      </w:pPr>
      <w:r>
        <w:rPr>
          <w:sz w:val="21"/>
          <w:szCs w:val="21"/>
        </w:rPr>
        <w:t xml:space="preserve">Aantrekken van de lening bij sectorbank (BNG of NWB), administratieve verwerking, verantwoording aan RvC.</w:t>
      </w:r>
    </w:p>
    <w:p>
      <w:pPr>
        <w:pStyle w:val="ListParagraph"/>
        <w:numPr>
          <w:ilvl w:val="0"/>
          <w:numId w:val="2"/>
        </w:numPr>
        <w:spacing w:after="40"/>
      </w:pPr>
      <w:r>
        <w:rPr>
          <w:color w:val="595959"/>
          <w:sz w:val="20"/>
          <w:szCs w:val="20"/>
        </w:rPr>
        <w:t xml:space="preserve">Leningovereenkomst</w:t>
      </w:r>
    </w:p>
    <w:p>
      <w:pPr>
        <w:pStyle w:val="ListParagraph"/>
        <w:numPr>
          <w:ilvl w:val="0"/>
          <w:numId w:val="2"/>
        </w:numPr>
        <w:spacing w:after="40"/>
      </w:pPr>
      <w:r>
        <w:rPr>
          <w:color w:val="595959"/>
          <w:sz w:val="20"/>
          <w:szCs w:val="20"/>
        </w:rPr>
        <w:t xml:space="preserve">RvC-informatie</w:t>
      </w:r>
    </w:p>
    <w:p>
      <w:pPr>
        <w:spacing w:after="100" w:before="240"/>
      </w:pPr>
      <w:r>
        <w:rPr>
          <w:b/>
          <w:bCs/>
          <w:color w:val="0F2744"/>
          <w:sz w:val="24"/>
          <w:szCs w:val="24"/>
        </w:rPr>
        <w:t xml:space="preserve">Aandachtspunten en typische valkuilen</w:t>
      </w:r>
    </w:p>
    <w:p>
      <w:pPr>
        <w:spacing w:after="320"/>
      </w:pPr>
      <w:r>
        <w:rPr>
          <w:i/>
          <w:iCs/>
          <w:sz w:val="22"/>
          <w:szCs w:val="22"/>
        </w:rPr>
        <w:t xml:space="preserve">WSW kijkt steeds intensiever naar de hele balans, niet alleen naar de specifieke lening. Een corporatie die individueel sterke ratio's heeft maar opgeteld te risicovol is, krijgt borgingsverzoeken afgewezen. Plan financieringsverzoeken in cycles in plaats van ad-hoc en bewaak je gehele leencapaciteit.</w:t>
      </w:r>
    </w:p>
    <w:p>
      <w:pPr>
        <w:pStyle w:val="Heading2"/>
      </w:pPr>
      <w:r>
        <w:t xml:space="preserve">Treasurystatuut wijziging en derivaten-besluit</w:t>
      </w:r>
    </w:p>
    <w:p>
      <w:pPr>
        <w:spacing w:after="200"/>
      </w:pPr>
      <w:r>
        <w:rPr>
          <w:sz w:val="22"/>
          <w:szCs w:val="22"/>
        </w:rPr>
        <w:t xml:space="preserve">Sinds de derivatenschandalen (Vestia, Rochdale) gelden zeer strikte regels rond treasury en derivaten. Elke wijziging in tegenpartijlimieten, instrumentenset of onderpand-regime is een formeel RvC-besluit met juridische en financiële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Beleidswijziging, marktontwikkeling, periodieke herziening</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Periodiek (jaarlijkse review); ad-hoc bij wijzigingen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(CFO), met goedkeuring RvC</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6-12 weken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Woningwet 2015 (verbod op exotische derivaten), Beleidsregels Aw, RJ 290 (financiële instrumenten)</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Aanleiding en voorstel CFO</w:t>
      </w:r>
      <w:r>
        <w:rPr>
          <w:b/>
          <w:bCs/>
          <w:color w:val="0F2744"/>
          <w:sz w:val="18"/>
          <w:szCs w:val="18"/>
        </w:rPr>
        <w:t xml:space="preserve"> [bewijs vereist]</w:t>
      </w:r>
    </w:p>
    <w:p>
      <w:pPr>
        <w:spacing w:after="60"/>
        <w:ind w:left="360"/>
      </w:pPr>
      <w:r>
        <w:rPr>
          <w:sz w:val="21"/>
          <w:szCs w:val="21"/>
        </w:rPr>
        <w:t xml:space="preserve">CFO formuleert voorstel met motivering en risico-impact.</w:t>
      </w:r>
    </w:p>
    <w:p>
      <w:pPr>
        <w:pStyle w:val="ListParagraph"/>
        <w:numPr>
          <w:ilvl w:val="0"/>
          <w:numId w:val="2"/>
        </w:numPr>
        <w:spacing w:after="40"/>
      </w:pPr>
      <w:r>
        <w:rPr>
          <w:color w:val="595959"/>
          <w:sz w:val="20"/>
          <w:szCs w:val="20"/>
        </w:rPr>
        <w:t xml:space="preserve">Voorstel met onderbouwing</w:t>
      </w:r>
    </w:p>
    <w:p>
      <w:pPr>
        <w:pStyle w:val="ListParagraph"/>
        <w:numPr>
          <w:ilvl w:val="0"/>
          <w:numId w:val="2"/>
        </w:numPr>
        <w:spacing w:after="40"/>
      </w:pPr>
      <w:r>
        <w:rPr>
          <w:color w:val="595959"/>
          <w:sz w:val="20"/>
          <w:szCs w:val="20"/>
        </w:rPr>
        <w:t xml:space="preserve">Risico-analyse</w:t>
      </w:r>
    </w:p>
    <w:p>
      <w:pPr>
        <w:spacing w:after="60" w:before="120"/>
      </w:pPr>
      <w:r>
        <w:rPr>
          <w:b/>
          <w:bCs/>
          <w:sz w:val="22"/>
          <w:szCs w:val="22"/>
        </w:rPr>
        <w:t xml:space="preserve">2. Juridische en risk-toets</w:t>
      </w:r>
      <w:r>
        <w:rPr>
          <w:b/>
          <w:bCs/>
          <w:color w:val="0F2744"/>
          <w:sz w:val="18"/>
          <w:szCs w:val="18"/>
        </w:rPr>
        <w:t xml:space="preserve"> [bewijs vereist]</w:t>
      </w:r>
    </w:p>
    <w:p>
      <w:pPr>
        <w:spacing w:after="60"/>
        <w:ind w:left="360"/>
      </w:pPr>
      <w:r>
        <w:rPr>
          <w:sz w:val="21"/>
          <w:szCs w:val="21"/>
        </w:rPr>
        <w:t xml:space="preserve">Externe juridische toets op Woningwet-conformiteit. Onafhankelijke risk-toets.</w:t>
      </w:r>
    </w:p>
    <w:p>
      <w:pPr>
        <w:pStyle w:val="ListParagraph"/>
        <w:numPr>
          <w:ilvl w:val="0"/>
          <w:numId w:val="2"/>
        </w:numPr>
        <w:spacing w:after="40"/>
      </w:pPr>
      <w:r>
        <w:rPr>
          <w:color w:val="595959"/>
          <w:sz w:val="20"/>
          <w:szCs w:val="20"/>
        </w:rPr>
        <w:t xml:space="preserve">Juridisch advies</w:t>
      </w:r>
    </w:p>
    <w:p>
      <w:pPr>
        <w:pStyle w:val="ListParagraph"/>
        <w:numPr>
          <w:ilvl w:val="0"/>
          <w:numId w:val="2"/>
        </w:numPr>
        <w:spacing w:after="40"/>
      </w:pPr>
      <w:r>
        <w:rPr>
          <w:color w:val="595959"/>
          <w:sz w:val="20"/>
          <w:szCs w:val="20"/>
        </w:rPr>
        <w:t xml:space="preserve">Risk-advies</w:t>
      </w:r>
    </w:p>
    <w:p>
      <w:pPr>
        <w:spacing w:after="60" w:before="120"/>
      </w:pPr>
      <w:r>
        <w:rPr>
          <w:b/>
          <w:bCs/>
          <w:sz w:val="22"/>
          <w:szCs w:val="22"/>
        </w:rPr>
        <w:t xml:space="preserve">3. Bespreking auditcommissie of financiële commissie</w:t>
      </w:r>
      <w:r>
        <w:rPr>
          <w:b/>
          <w:bCs/>
          <w:color w:val="0F2744"/>
          <w:sz w:val="18"/>
          <w:szCs w:val="18"/>
        </w:rPr>
        <w:t xml:space="preserve"> [bewijs vereist]</w:t>
      </w:r>
    </w:p>
    <w:p>
      <w:pPr>
        <w:spacing w:after="60"/>
        <w:ind w:left="360"/>
      </w:pPr>
      <w:r>
        <w:rPr>
          <w:sz w:val="21"/>
          <w:szCs w:val="21"/>
        </w:rPr>
        <w:t xml:space="preserve">Inhoudelijke bespreking in commissie met aanbeveling aan voltallige RvC.</w:t>
      </w:r>
    </w:p>
    <w:p>
      <w:pPr>
        <w:pStyle w:val="ListParagraph"/>
        <w:numPr>
          <w:ilvl w:val="0"/>
          <w:numId w:val="2"/>
        </w:numPr>
        <w:spacing w:after="40"/>
      </w:pPr>
      <w:r>
        <w:rPr>
          <w:color w:val="595959"/>
          <w:sz w:val="20"/>
          <w:szCs w:val="20"/>
        </w:rPr>
        <w:t xml:space="preserve">Commissie-aanbeveling</w:t>
      </w:r>
    </w:p>
    <w:p>
      <w:pPr>
        <w:spacing w:after="60" w:before="120"/>
      </w:pPr>
      <w:r>
        <w:rPr>
          <w:b/>
          <w:bCs/>
          <w:sz w:val="22"/>
          <w:szCs w:val="22"/>
        </w:rPr>
        <w:t xml:space="preserve">4. Bestuursbesluit en RvC-goedkeuring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Bestuursbesluit, formele goedkeuring RvC.</w:t>
      </w:r>
    </w:p>
    <w:p>
      <w:pPr>
        <w:pStyle w:val="ListParagraph"/>
        <w:numPr>
          <w:ilvl w:val="0"/>
          <w:numId w:val="2"/>
        </w:numPr>
        <w:spacing w:after="40"/>
      </w:pPr>
      <w:r>
        <w:rPr>
          <w:color w:val="595959"/>
          <w:sz w:val="20"/>
          <w:szCs w:val="20"/>
        </w:rPr>
        <w:t xml:space="preserve">Bestuursbesluit</w:t>
      </w:r>
    </w:p>
    <w:p>
      <w:pPr>
        <w:pStyle w:val="ListParagraph"/>
        <w:numPr>
          <w:ilvl w:val="0"/>
          <w:numId w:val="2"/>
        </w:numPr>
        <w:spacing w:after="40"/>
      </w:pPr>
      <w:r>
        <w:rPr>
          <w:color w:val="595959"/>
          <w:sz w:val="20"/>
          <w:szCs w:val="20"/>
        </w:rPr>
        <w:t xml:space="preserve">RvC-goedkeuring</w:t>
      </w:r>
    </w:p>
    <w:p>
      <w:pPr>
        <w:spacing w:after="60" w:before="120"/>
      </w:pPr>
      <w:r>
        <w:rPr>
          <w:b/>
          <w:bCs/>
          <w:sz w:val="22"/>
          <w:szCs w:val="22"/>
        </w:rPr>
        <w:t xml:space="preserve">5. Implementatie en monitoring</w:t>
      </w:r>
      <w:r>
        <w:rPr>
          <w:b/>
          <w:bCs/>
          <w:color w:val="0F2744"/>
          <w:sz w:val="18"/>
          <w:szCs w:val="18"/>
        </w:rPr>
        <w:t xml:space="preserve"> [bewijs vereist]</w:t>
      </w:r>
    </w:p>
    <w:p>
      <w:pPr>
        <w:spacing w:after="60"/>
        <w:ind w:left="360"/>
      </w:pPr>
      <w:r>
        <w:rPr>
          <w:sz w:val="21"/>
          <w:szCs w:val="21"/>
        </w:rPr>
        <w:t xml:space="preserve">Aanpassingen in treasury-administratie, monitoring tegen nieuwe limieten, eerste rapportage.</w:t>
      </w:r>
    </w:p>
    <w:p>
      <w:pPr>
        <w:pStyle w:val="ListParagraph"/>
        <w:numPr>
          <w:ilvl w:val="0"/>
          <w:numId w:val="2"/>
        </w:numPr>
        <w:spacing w:after="40"/>
      </w:pPr>
      <w:r>
        <w:rPr>
          <w:color w:val="595959"/>
          <w:sz w:val="20"/>
          <w:szCs w:val="20"/>
        </w:rPr>
        <w:t xml:space="preserve">Aangepaste administratie</w:t>
      </w:r>
    </w:p>
    <w:p>
      <w:pPr>
        <w:pStyle w:val="ListParagraph"/>
        <w:numPr>
          <w:ilvl w:val="0"/>
          <w:numId w:val="2"/>
        </w:numPr>
        <w:spacing w:after="40"/>
      </w:pPr>
      <w:r>
        <w:rPr>
          <w:color w:val="595959"/>
          <w:sz w:val="20"/>
          <w:szCs w:val="20"/>
        </w:rPr>
        <w:t xml:space="preserve">Eerste monitoringsrapportage</w:t>
      </w:r>
    </w:p>
    <w:p>
      <w:pPr>
        <w:spacing w:after="100" w:before="240"/>
      </w:pPr>
      <w:r>
        <w:rPr>
          <w:b/>
          <w:bCs/>
          <w:color w:val="0F2744"/>
          <w:sz w:val="24"/>
          <w:szCs w:val="24"/>
        </w:rPr>
        <w:t xml:space="preserve">Aandachtspunten en typische valkuilen</w:t>
      </w:r>
    </w:p>
    <w:p>
      <w:pPr>
        <w:spacing w:after="320"/>
      </w:pPr>
      <w:r>
        <w:rPr>
          <w:i/>
          <w:iCs/>
          <w:sz w:val="22"/>
          <w:szCs w:val="22"/>
        </w:rPr>
        <w:t xml:space="preserve">De Woningwet verbiedt expliciet bepaalde derivaten — een wijziging die schijnbaar binnen de bandbreedte valt kan toch in conflict zijn met de wettelijke definities. Een externe juridische toets specifiek op Woningwet-conformiteit is geen luxe maar een vereiste, ook bij ogenschijnlijk kleine aanpassingen.</w:t>
      </w:r>
    </w:p>
    <w:p>
      <w:pPr>
        <w:pStyle w:val="Heading2"/>
      </w:pPr>
      <w:r>
        <w:t xml:space="preserve">Visitatiecyclus</w:t>
      </w:r>
    </w:p>
    <w:p>
      <w:pPr>
        <w:spacing w:after="200"/>
      </w:pPr>
      <w:r>
        <w:rPr>
          <w:sz w:val="22"/>
          <w:szCs w:val="22"/>
        </w:rPr>
        <w:t xml:space="preserve">Eens per vier jaar moet elke woningcorporatie een externe visitatie doorlopen waarin een onafhankelijke commissie de prestaties beoordeelt. Het is een transparant en publiek proces met sterke maatschappelijke functie.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Vierjaarlijkse cyclus</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Eens per 4 jaar</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en RvC samen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6-9 maanden van opdracht tot publicatie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Woningwet 2015 art. 53a, Visitatiestelsel woningcorporaties (SVWN)</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Opdrachtverlening aan visitatiecommissie</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Selectie van een geaccrediteerde visitatiebureau, opdrachtformulering en planning.</w:t>
      </w:r>
    </w:p>
    <w:p>
      <w:pPr>
        <w:pStyle w:val="ListParagraph"/>
        <w:numPr>
          <w:ilvl w:val="0"/>
          <w:numId w:val="2"/>
        </w:numPr>
        <w:spacing w:after="40"/>
      </w:pPr>
      <w:r>
        <w:rPr>
          <w:color w:val="595959"/>
          <w:sz w:val="20"/>
          <w:szCs w:val="20"/>
        </w:rPr>
        <w:t xml:space="preserve">Visitatiebureau geselecteerd</w:t>
      </w:r>
    </w:p>
    <w:p>
      <w:pPr>
        <w:pStyle w:val="ListParagraph"/>
        <w:numPr>
          <w:ilvl w:val="0"/>
          <w:numId w:val="2"/>
        </w:numPr>
        <w:spacing w:after="40"/>
      </w:pPr>
      <w:r>
        <w:rPr>
          <w:color w:val="595959"/>
          <w:sz w:val="20"/>
          <w:szCs w:val="20"/>
        </w:rPr>
        <w:t xml:space="preserve">Opdracht vastgelegd</w:t>
      </w:r>
    </w:p>
    <w:p>
      <w:pPr>
        <w:spacing w:after="60" w:before="120"/>
      </w:pPr>
      <w:r>
        <w:rPr>
          <w:b/>
          <w:bCs/>
          <w:sz w:val="22"/>
          <w:szCs w:val="22"/>
        </w:rPr>
        <w:t xml:space="preserve">2. Zelfevaluatie en data-aanlevering</w:t>
      </w:r>
      <w:r>
        <w:rPr>
          <w:b/>
          <w:bCs/>
          <w:color w:val="0F2744"/>
          <w:sz w:val="18"/>
          <w:szCs w:val="18"/>
        </w:rPr>
        <w:t xml:space="preserve"> [bewijs vereist]</w:t>
      </w:r>
    </w:p>
    <w:p>
      <w:pPr>
        <w:spacing w:after="60"/>
        <w:ind w:left="360"/>
      </w:pPr>
      <w:r>
        <w:rPr>
          <w:sz w:val="21"/>
          <w:szCs w:val="21"/>
        </w:rPr>
        <w:t xml:space="preserve">Corporatie maakt zelfevaluatie en levert datapakket aan visitatiecommissie.</w:t>
      </w:r>
    </w:p>
    <w:p>
      <w:pPr>
        <w:pStyle w:val="ListParagraph"/>
        <w:numPr>
          <w:ilvl w:val="0"/>
          <w:numId w:val="2"/>
        </w:numPr>
        <w:spacing w:after="40"/>
      </w:pPr>
      <w:r>
        <w:rPr>
          <w:color w:val="595959"/>
          <w:sz w:val="20"/>
          <w:szCs w:val="20"/>
        </w:rPr>
        <w:t xml:space="preserve">Zelfevaluatie-rapport</w:t>
      </w:r>
    </w:p>
    <w:p>
      <w:pPr>
        <w:pStyle w:val="ListParagraph"/>
        <w:numPr>
          <w:ilvl w:val="0"/>
          <w:numId w:val="2"/>
        </w:numPr>
        <w:spacing w:after="40"/>
      </w:pPr>
      <w:r>
        <w:rPr>
          <w:color w:val="595959"/>
          <w:sz w:val="20"/>
          <w:szCs w:val="20"/>
        </w:rPr>
        <w:t xml:space="preserve">Datapakket compleet</w:t>
      </w:r>
    </w:p>
    <w:p>
      <w:pPr>
        <w:spacing w:after="60" w:before="120"/>
      </w:pPr>
      <w:r>
        <w:rPr>
          <w:b/>
          <w:bCs/>
          <w:sz w:val="22"/>
          <w:szCs w:val="22"/>
        </w:rPr>
        <w:t xml:space="preserve">3. Externe gesprekken met stakeholders</w:t>
      </w:r>
      <w:r>
        <w:rPr>
          <w:b/>
          <w:bCs/>
          <w:color w:val="0F2744"/>
          <w:sz w:val="18"/>
          <w:szCs w:val="18"/>
        </w:rPr>
        <w:t xml:space="preserve"> [bewijs vereist]</w:t>
      </w:r>
    </w:p>
    <w:p>
      <w:pPr>
        <w:spacing w:after="60"/>
        <w:ind w:left="360"/>
      </w:pPr>
      <w:r>
        <w:rPr>
          <w:sz w:val="21"/>
          <w:szCs w:val="21"/>
        </w:rPr>
        <w:t xml:space="preserve">Visitatiecommissie voert gesprekken met huurdersorganisatie, gemeente(n), zorginstellingen, ondernemingsraad.</w:t>
      </w:r>
    </w:p>
    <w:p>
      <w:pPr>
        <w:pStyle w:val="ListParagraph"/>
        <w:numPr>
          <w:ilvl w:val="0"/>
          <w:numId w:val="2"/>
        </w:numPr>
        <w:spacing w:after="40"/>
      </w:pPr>
      <w:r>
        <w:rPr>
          <w:color w:val="595959"/>
          <w:sz w:val="20"/>
          <w:szCs w:val="20"/>
        </w:rPr>
        <w:t xml:space="preserve">Stakeholder-gesprekslijst</w:t>
      </w:r>
    </w:p>
    <w:p>
      <w:pPr>
        <w:pStyle w:val="ListParagraph"/>
        <w:numPr>
          <w:ilvl w:val="0"/>
          <w:numId w:val="2"/>
        </w:numPr>
        <w:spacing w:after="40"/>
      </w:pPr>
      <w:r>
        <w:rPr>
          <w:color w:val="595959"/>
          <w:sz w:val="20"/>
          <w:szCs w:val="20"/>
        </w:rPr>
        <w:t xml:space="preserve">Gespreksverslagen</w:t>
      </w:r>
    </w:p>
    <w:p>
      <w:pPr>
        <w:spacing w:after="60" w:before="120"/>
      </w:pPr>
      <w:r>
        <w:rPr>
          <w:b/>
          <w:bCs/>
          <w:sz w:val="22"/>
          <w:szCs w:val="22"/>
        </w:rPr>
        <w:t xml:space="preserve">4. Conceptrapport en wederhoor</w:t>
      </w:r>
      <w:r>
        <w:rPr>
          <w:b/>
          <w:bCs/>
          <w:color w:val="0F2744"/>
          <w:sz w:val="18"/>
          <w:szCs w:val="18"/>
        </w:rPr>
        <w:t xml:space="preserve"> [bewijs vereist]</w:t>
      </w:r>
    </w:p>
    <w:p>
      <w:pPr>
        <w:spacing w:after="60"/>
        <w:ind w:left="360"/>
      </w:pPr>
      <w:r>
        <w:rPr>
          <w:sz w:val="21"/>
          <w:szCs w:val="21"/>
        </w:rPr>
        <w:t xml:space="preserve">Conceptrapport ontvangen, wederhoor op feitelijke onjuistheden.</w:t>
      </w:r>
    </w:p>
    <w:p>
      <w:pPr>
        <w:pStyle w:val="ListParagraph"/>
        <w:numPr>
          <w:ilvl w:val="0"/>
          <w:numId w:val="2"/>
        </w:numPr>
        <w:spacing w:after="40"/>
      </w:pPr>
      <w:r>
        <w:rPr>
          <w:color w:val="595959"/>
          <w:sz w:val="20"/>
          <w:szCs w:val="20"/>
        </w:rPr>
        <w:t xml:space="preserve">Conceptrapport</w:t>
      </w:r>
    </w:p>
    <w:p>
      <w:pPr>
        <w:pStyle w:val="ListParagraph"/>
        <w:numPr>
          <w:ilvl w:val="0"/>
          <w:numId w:val="2"/>
        </w:numPr>
        <w:spacing w:after="40"/>
      </w:pPr>
      <w:r>
        <w:rPr>
          <w:color w:val="595959"/>
          <w:sz w:val="20"/>
          <w:szCs w:val="20"/>
        </w:rPr>
        <w:t xml:space="preserve">Wederhoor-reactie</w:t>
      </w:r>
    </w:p>
    <w:p>
      <w:pPr>
        <w:spacing w:after="60" w:before="120"/>
      </w:pPr>
      <w:r>
        <w:rPr>
          <w:b/>
          <w:bCs/>
          <w:sz w:val="22"/>
          <w:szCs w:val="22"/>
        </w:rPr>
        <w:t xml:space="preserve">5. Bestuurlijke reactie en publicatie</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en RvC formuleren bestuurlijke reactie. Definitief rapport wordt openbaar gepubliceerd.</w:t>
      </w:r>
    </w:p>
    <w:p>
      <w:pPr>
        <w:pStyle w:val="ListParagraph"/>
        <w:numPr>
          <w:ilvl w:val="0"/>
          <w:numId w:val="2"/>
        </w:numPr>
        <w:spacing w:after="40"/>
      </w:pPr>
      <w:r>
        <w:rPr>
          <w:color w:val="595959"/>
          <w:sz w:val="20"/>
          <w:szCs w:val="20"/>
        </w:rPr>
        <w:t xml:space="preserve">Bestuurlijke reactie</w:t>
      </w:r>
    </w:p>
    <w:p>
      <w:pPr>
        <w:pStyle w:val="ListParagraph"/>
        <w:numPr>
          <w:ilvl w:val="0"/>
          <w:numId w:val="2"/>
        </w:numPr>
        <w:spacing w:after="40"/>
      </w:pPr>
      <w:r>
        <w:rPr>
          <w:color w:val="595959"/>
          <w:sz w:val="20"/>
          <w:szCs w:val="20"/>
        </w:rPr>
        <w:t xml:space="preserve">Publicatie definitief rapport</w:t>
      </w:r>
    </w:p>
    <w:p>
      <w:pPr>
        <w:spacing w:after="60" w:before="120"/>
      </w:pPr>
      <w:r>
        <w:rPr>
          <w:b/>
          <w:bCs/>
          <w:sz w:val="22"/>
          <w:szCs w:val="22"/>
        </w:rPr>
        <w:t xml:space="preserve">6. Verbeterplan en monitoring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Op basis van bevindingen verbeterplan opstellen en uitvoering monitoren over de visitatieperiode.</w:t>
      </w:r>
    </w:p>
    <w:p>
      <w:pPr>
        <w:pStyle w:val="ListParagraph"/>
        <w:numPr>
          <w:ilvl w:val="0"/>
          <w:numId w:val="2"/>
        </w:numPr>
        <w:spacing w:after="40"/>
      </w:pPr>
      <w:r>
        <w:rPr>
          <w:color w:val="595959"/>
          <w:sz w:val="20"/>
          <w:szCs w:val="20"/>
        </w:rPr>
        <w:t xml:space="preserve">Verbeterplan</w:t>
      </w:r>
    </w:p>
    <w:p>
      <w:pPr>
        <w:pStyle w:val="ListParagraph"/>
        <w:numPr>
          <w:ilvl w:val="0"/>
          <w:numId w:val="2"/>
        </w:numPr>
        <w:spacing w:after="40"/>
      </w:pPr>
      <w:r>
        <w:rPr>
          <w:color w:val="595959"/>
          <w:sz w:val="20"/>
          <w:szCs w:val="20"/>
        </w:rPr>
        <w:t xml:space="preserve">Voortgangsrapportage aan RvC</w:t>
      </w:r>
    </w:p>
    <w:p>
      <w:pPr>
        <w:spacing w:after="100" w:before="240"/>
      </w:pPr>
      <w:r>
        <w:rPr>
          <w:b/>
          <w:bCs/>
          <w:color w:val="0F2744"/>
          <w:sz w:val="24"/>
          <w:szCs w:val="24"/>
        </w:rPr>
        <w:t xml:space="preserve">Aandachtspunten en typische valkuilen</w:t>
      </w:r>
    </w:p>
    <w:p>
      <w:pPr>
        <w:spacing w:after="320"/>
      </w:pPr>
      <w:r>
        <w:rPr>
          <w:i/>
          <w:iCs/>
          <w:sz w:val="22"/>
          <w:szCs w:val="22"/>
        </w:rPr>
        <w:t xml:space="preserve">Visitaties worden vaak ervaren als bureaucratische pijn, maar leveren juist door de externe blik en het brede stakeholder-perspectief verrassend nuttige inzichten. Investeer in inhoudelijke voorbereiding van de zelfevaluatie — niet als verkoopdocument maar als eerlijk reflectie-stuk. Dat verandert de visitatie-ervaring fundamenteel.</w:t>
      </w:r>
    </w:p>
    <w:p>
      <w:pPr>
        <w:pStyle w:val="Heading2"/>
      </w:pPr>
      <w:r>
        <w:t xml:space="preserve">Prestatieafspraken-cyclus met gemeente en huurdersorganisatie</w:t>
      </w:r>
    </w:p>
    <w:p>
      <w:pPr>
        <w:spacing w:after="200"/>
      </w:pPr>
      <w:r>
        <w:rPr>
          <w:sz w:val="22"/>
          <w:szCs w:val="22"/>
        </w:rPr>
        <w:t xml:space="preserve">Jaarlijks tripartiet onderhandelingsproces met gemeente(n) en huurdersorganisatie over inzet, investeringen, betaalbaarheid en duurzaamheid. Het resultaat is een set bindende afspraken die het beleid voor het volgende jaar vormgeeft.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Jaarlijks; aanvang ergens in tweede helft van het jaar</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Jaarlijks</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met inhoudelijke voorbereiding strategie- of beleidsteam</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4-8 maanden onderhandeling</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Woningwet 2015 art. 44, lokale woonvisie</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Voorbereiding bod door corporatie</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Corporatie stelt bod op aan de gemeente met geplande investeringen, huurbeleid, duurzaamheidsmaatregelen.</w:t>
      </w:r>
    </w:p>
    <w:p>
      <w:pPr>
        <w:pStyle w:val="ListParagraph"/>
        <w:numPr>
          <w:ilvl w:val="0"/>
          <w:numId w:val="2"/>
        </w:numPr>
        <w:spacing w:after="40"/>
      </w:pPr>
      <w:r>
        <w:rPr>
          <w:color w:val="595959"/>
          <w:sz w:val="20"/>
          <w:szCs w:val="20"/>
        </w:rPr>
        <w:t xml:space="preserve">Bod-document</w:t>
      </w:r>
    </w:p>
    <w:p>
      <w:pPr>
        <w:pStyle w:val="ListParagraph"/>
        <w:numPr>
          <w:ilvl w:val="0"/>
          <w:numId w:val="2"/>
        </w:numPr>
        <w:spacing w:after="40"/>
      </w:pPr>
      <w:r>
        <w:rPr>
          <w:color w:val="595959"/>
          <w:sz w:val="20"/>
          <w:szCs w:val="20"/>
        </w:rPr>
        <w:t xml:space="preserve">Onderbouwing per onderdeel</w:t>
      </w:r>
    </w:p>
    <w:p>
      <w:pPr>
        <w:spacing w:after="60" w:before="120"/>
      </w:pPr>
      <w:r>
        <w:rPr>
          <w:b/>
          <w:bCs/>
          <w:sz w:val="22"/>
          <w:szCs w:val="22"/>
        </w:rPr>
        <w:t xml:space="preserve">2. Tripartiet overleg</w:t>
      </w:r>
      <w:r>
        <w:rPr>
          <w:b/>
          <w:bCs/>
          <w:color w:val="0F2744"/>
          <w:sz w:val="18"/>
          <w:szCs w:val="18"/>
        </w:rPr>
        <w:t xml:space="preserve"> [bewijs vereist]</w:t>
      </w:r>
    </w:p>
    <w:p>
      <w:pPr>
        <w:spacing w:after="60"/>
        <w:ind w:left="360"/>
      </w:pPr>
      <w:r>
        <w:rPr>
          <w:sz w:val="21"/>
          <w:szCs w:val="21"/>
        </w:rPr>
        <w:t xml:space="preserve">Onderhandeling met gemeente en huurdersorganisatie, eventueel meerdere overlegrondes.</w:t>
      </w:r>
    </w:p>
    <w:p>
      <w:pPr>
        <w:pStyle w:val="ListParagraph"/>
        <w:numPr>
          <w:ilvl w:val="0"/>
          <w:numId w:val="2"/>
        </w:numPr>
        <w:spacing w:after="40"/>
      </w:pPr>
      <w:r>
        <w:rPr>
          <w:color w:val="595959"/>
          <w:sz w:val="20"/>
          <w:szCs w:val="20"/>
        </w:rPr>
        <w:t xml:space="preserve">Overlegnotulen</w:t>
      </w:r>
    </w:p>
    <w:p>
      <w:pPr>
        <w:pStyle w:val="ListParagraph"/>
        <w:numPr>
          <w:ilvl w:val="0"/>
          <w:numId w:val="2"/>
        </w:numPr>
        <w:spacing w:after="40"/>
      </w:pPr>
      <w:r>
        <w:rPr>
          <w:color w:val="595959"/>
          <w:sz w:val="20"/>
          <w:szCs w:val="20"/>
        </w:rPr>
        <w:t xml:space="preserve">Onderhandelingspunten en aanpassingen</w:t>
      </w:r>
    </w:p>
    <w:p>
      <w:pPr>
        <w:spacing w:after="60" w:before="120"/>
      </w:pPr>
      <w:r>
        <w:rPr>
          <w:b/>
          <w:bCs/>
          <w:sz w:val="22"/>
          <w:szCs w:val="22"/>
        </w:rPr>
        <w:t xml:space="preserve">3. Conceptafspraken en bestuurlijke voorbereiding</w:t>
      </w:r>
      <w:r>
        <w:rPr>
          <w:b/>
          <w:bCs/>
          <w:color w:val="0F2744"/>
          <w:sz w:val="18"/>
          <w:szCs w:val="18"/>
        </w:rPr>
        <w:t xml:space="preserve"> [bewijs vereist]</w:t>
      </w:r>
    </w:p>
    <w:p>
      <w:pPr>
        <w:spacing w:after="60"/>
        <w:ind w:left="360"/>
      </w:pPr>
      <w:r>
        <w:rPr>
          <w:sz w:val="21"/>
          <w:szCs w:val="21"/>
        </w:rPr>
        <w:t xml:space="preserve">Concept-afspraken voor bestuurlijke akkoord, eventueel iteraties.</w:t>
      </w:r>
    </w:p>
    <w:p>
      <w:pPr>
        <w:pStyle w:val="ListParagraph"/>
        <w:numPr>
          <w:ilvl w:val="0"/>
          <w:numId w:val="2"/>
        </w:numPr>
        <w:spacing w:after="40"/>
      </w:pPr>
      <w:r>
        <w:rPr>
          <w:color w:val="595959"/>
          <w:sz w:val="20"/>
          <w:szCs w:val="20"/>
        </w:rPr>
        <w:t xml:space="preserve">Conceptafspraken</w:t>
      </w:r>
    </w:p>
    <w:p>
      <w:pPr>
        <w:pStyle w:val="ListParagraph"/>
        <w:numPr>
          <w:ilvl w:val="0"/>
          <w:numId w:val="2"/>
        </w:numPr>
        <w:spacing w:after="40"/>
      </w:pPr>
      <w:r>
        <w:rPr>
          <w:color w:val="595959"/>
          <w:sz w:val="20"/>
          <w:szCs w:val="20"/>
        </w:rPr>
        <w:t xml:space="preserve">Bestuurlijke commentaarronde</w:t>
      </w:r>
    </w:p>
    <w:p>
      <w:pPr>
        <w:spacing w:after="60" w:before="120"/>
      </w:pPr>
      <w:r>
        <w:rPr>
          <w:b/>
          <w:bCs/>
          <w:sz w:val="22"/>
          <w:szCs w:val="22"/>
        </w:rPr>
        <w:t xml:space="preserve">4. Vaststelling en ondertekening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Formele vaststelling door alle drie partijen, ondertekening, publicatie.</w:t>
      </w:r>
    </w:p>
    <w:p>
      <w:pPr>
        <w:pStyle w:val="ListParagraph"/>
        <w:numPr>
          <w:ilvl w:val="0"/>
          <w:numId w:val="2"/>
        </w:numPr>
        <w:spacing w:after="40"/>
      </w:pPr>
      <w:r>
        <w:rPr>
          <w:color w:val="595959"/>
          <w:sz w:val="20"/>
          <w:szCs w:val="20"/>
        </w:rPr>
        <w:t xml:space="preserve">Getekende prestatieafspraken</w:t>
      </w:r>
    </w:p>
    <w:p>
      <w:pPr>
        <w:pStyle w:val="ListParagraph"/>
        <w:numPr>
          <w:ilvl w:val="0"/>
          <w:numId w:val="2"/>
        </w:numPr>
        <w:spacing w:after="40"/>
      </w:pPr>
      <w:r>
        <w:rPr>
          <w:color w:val="595959"/>
          <w:sz w:val="20"/>
          <w:szCs w:val="20"/>
        </w:rPr>
        <w:t xml:space="preserve">Publicatie</w:t>
      </w:r>
    </w:p>
    <w:p>
      <w:pPr>
        <w:spacing w:after="60" w:before="120"/>
      </w:pPr>
      <w:r>
        <w:rPr>
          <w:b/>
          <w:bCs/>
          <w:sz w:val="22"/>
          <w:szCs w:val="22"/>
        </w:rPr>
        <w:t xml:space="preserve">5. Uitvoering en periodieke monitoring</w:t>
      </w:r>
      <w:r>
        <w:rPr>
          <w:b/>
          <w:bCs/>
          <w:color w:val="0F2744"/>
          <w:sz w:val="18"/>
          <w:szCs w:val="18"/>
        </w:rPr>
        <w:t xml:space="preserve"> [bewijs vereist]</w:t>
      </w:r>
    </w:p>
    <w:p>
      <w:pPr>
        <w:spacing w:after="60"/>
        <w:ind w:left="360"/>
      </w:pPr>
      <w:r>
        <w:rPr>
          <w:sz w:val="21"/>
          <w:szCs w:val="21"/>
        </w:rPr>
        <w:t xml:space="preserve">Uitvoering, halfjaarlijkse of kwartaal-monitoring met de andere partijen, jaarverantwoording.</w:t>
      </w:r>
    </w:p>
    <w:p>
      <w:pPr>
        <w:pStyle w:val="ListParagraph"/>
        <w:numPr>
          <w:ilvl w:val="0"/>
          <w:numId w:val="2"/>
        </w:numPr>
        <w:spacing w:after="40"/>
      </w:pPr>
      <w:r>
        <w:rPr>
          <w:color w:val="595959"/>
          <w:sz w:val="20"/>
          <w:szCs w:val="20"/>
        </w:rPr>
        <w:t xml:space="preserve">Monitoringsrapportages</w:t>
      </w:r>
    </w:p>
    <w:p>
      <w:pPr>
        <w:pStyle w:val="ListParagraph"/>
        <w:numPr>
          <w:ilvl w:val="0"/>
          <w:numId w:val="2"/>
        </w:numPr>
        <w:spacing w:after="40"/>
      </w:pPr>
      <w:r>
        <w:rPr>
          <w:color w:val="595959"/>
          <w:sz w:val="20"/>
          <w:szCs w:val="20"/>
        </w:rPr>
        <w:t xml:space="preserve">Jaarverantwoording</w:t>
      </w:r>
    </w:p>
    <w:p>
      <w:pPr>
        <w:spacing w:after="100" w:before="240"/>
      </w:pPr>
      <w:r>
        <w:rPr>
          <w:b/>
          <w:bCs/>
          <w:color w:val="0F2744"/>
          <w:sz w:val="24"/>
          <w:szCs w:val="24"/>
        </w:rPr>
        <w:t xml:space="preserve">Aandachtspunten en typische valkuilen</w:t>
      </w:r>
    </w:p>
    <w:p>
      <w:pPr>
        <w:spacing w:after="320"/>
      </w:pPr>
      <w:r>
        <w:rPr>
          <w:i/>
          <w:iCs/>
          <w:sz w:val="22"/>
          <w:szCs w:val="22"/>
        </w:rPr>
        <w:t xml:space="preserve">Prestatieafspraken zijn bindend en worden door Aw gemonitord. Voorzichtigheid met te ambitieuze beloften: liever realistisch leveren dan jaarlijks tegenvallen. Een 'rolling' driejaarlijks kader met jaarlijkse aanpassing werkt vaak beter dan elk jaar volledig opnieuw uitonderhandelen.</w:t>
      </w:r>
    </w:p>
    <w:p>
      <w:pPr>
        <w:pStyle w:val="Heading2"/>
      </w:pPr>
      <w:r>
        <w:t xml:space="preserve">Strategisch voorraadbeleid (SVB) herziening</w:t>
      </w:r>
    </w:p>
    <w:p>
      <w:pPr>
        <w:spacing w:after="200"/>
      </w:pPr>
      <w:r>
        <w:rPr>
          <w:sz w:val="22"/>
          <w:szCs w:val="22"/>
        </w:rPr>
        <w:t xml:space="preserve">Het strategisch voorraadbeleid is de meerjarige visie op wat de corporatie wil bezitten, slopen, verkopen, verduurzamen en bouwen. Driejarige cyclus met scenario-analyse, intensief onderbouwingstraject.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Cyclische herziening, materiële marktverandering, fusie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Eens per 3-5 jaar</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met goedkeuring RvC</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6-12 maanden</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Woningwet 2015, lokale woonvisie</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Marktanalyse en demografische projectie</w:t>
      </w:r>
      <w:r>
        <w:rPr>
          <w:b/>
          <w:bCs/>
          <w:color w:val="0F2744"/>
          <w:sz w:val="18"/>
          <w:szCs w:val="18"/>
        </w:rPr>
        <w:t xml:space="preserve"> [bewijs vereist]</w:t>
      </w:r>
    </w:p>
    <w:p>
      <w:pPr>
        <w:spacing w:after="60"/>
        <w:ind w:left="360"/>
      </w:pPr>
      <w:r>
        <w:rPr>
          <w:sz w:val="21"/>
          <w:szCs w:val="21"/>
        </w:rPr>
        <w:t xml:space="preserve">Analyse van demografie, woonbehoefte, marktontwikkeling, prijsontwikkeling per gebied.</w:t>
      </w:r>
    </w:p>
    <w:p>
      <w:pPr>
        <w:pStyle w:val="ListParagraph"/>
        <w:numPr>
          <w:ilvl w:val="0"/>
          <w:numId w:val="2"/>
        </w:numPr>
        <w:spacing w:after="40"/>
      </w:pPr>
      <w:r>
        <w:rPr>
          <w:color w:val="595959"/>
          <w:sz w:val="20"/>
          <w:szCs w:val="20"/>
        </w:rPr>
        <w:t xml:space="preserve">Marktanalyse-rapport</w:t>
      </w:r>
    </w:p>
    <w:p>
      <w:pPr>
        <w:pStyle w:val="ListParagraph"/>
        <w:numPr>
          <w:ilvl w:val="0"/>
          <w:numId w:val="2"/>
        </w:numPr>
        <w:spacing w:after="40"/>
      </w:pPr>
      <w:r>
        <w:rPr>
          <w:color w:val="595959"/>
          <w:sz w:val="20"/>
          <w:szCs w:val="20"/>
        </w:rPr>
        <w:t xml:space="preserve">Demografische projectie</w:t>
      </w:r>
    </w:p>
    <w:p>
      <w:pPr>
        <w:spacing w:after="60" w:before="120"/>
      </w:pPr>
      <w:r>
        <w:rPr>
          <w:b/>
          <w:bCs/>
          <w:sz w:val="22"/>
          <w:szCs w:val="22"/>
        </w:rPr>
        <w:t xml:space="preserve">2. Portefeuilleanalyse en scenario-ontwikkeling</w:t>
      </w:r>
      <w:r>
        <w:rPr>
          <w:b/>
          <w:bCs/>
          <w:color w:val="0F2744"/>
          <w:sz w:val="18"/>
          <w:szCs w:val="18"/>
        </w:rPr>
        <w:t xml:space="preserve"> [bewijs vereist]</w:t>
      </w:r>
    </w:p>
    <w:p>
      <w:pPr>
        <w:spacing w:after="60"/>
        <w:ind w:left="360"/>
      </w:pPr>
      <w:r>
        <w:rPr>
          <w:sz w:val="21"/>
          <w:szCs w:val="21"/>
        </w:rPr>
        <w:t xml:space="preserve">Analyse huidige portefeuille per complex, ontwikkeling van strategische scenario's (bv. groei, krimp, herpositionering).</w:t>
      </w:r>
    </w:p>
    <w:p>
      <w:pPr>
        <w:pStyle w:val="ListParagraph"/>
        <w:numPr>
          <w:ilvl w:val="0"/>
          <w:numId w:val="2"/>
        </w:numPr>
        <w:spacing w:after="40"/>
      </w:pPr>
      <w:r>
        <w:rPr>
          <w:color w:val="595959"/>
          <w:sz w:val="20"/>
          <w:szCs w:val="20"/>
        </w:rPr>
        <w:t xml:space="preserve">Portefeuille-analyse per complex</w:t>
      </w:r>
    </w:p>
    <w:p>
      <w:pPr>
        <w:pStyle w:val="ListParagraph"/>
        <w:numPr>
          <w:ilvl w:val="0"/>
          <w:numId w:val="2"/>
        </w:numPr>
        <w:spacing w:after="40"/>
      </w:pPr>
      <w:r>
        <w:rPr>
          <w:color w:val="595959"/>
          <w:sz w:val="20"/>
          <w:szCs w:val="20"/>
        </w:rPr>
        <w:t xml:space="preserve">Scenario-overzicht</w:t>
      </w:r>
    </w:p>
    <w:p>
      <w:pPr>
        <w:spacing w:after="60" w:before="120"/>
      </w:pPr>
      <w:r>
        <w:rPr>
          <w:b/>
          <w:bCs/>
          <w:sz w:val="22"/>
          <w:szCs w:val="22"/>
        </w:rPr>
        <w:t xml:space="preserve">3. Financiële doorrekening en kasstroomprojectie</w:t>
      </w:r>
      <w:r>
        <w:rPr>
          <w:b/>
          <w:bCs/>
          <w:color w:val="0F2744"/>
          <w:sz w:val="18"/>
          <w:szCs w:val="18"/>
        </w:rPr>
        <w:t xml:space="preserve"> [bewijs vereist]</w:t>
      </w:r>
    </w:p>
    <w:p>
      <w:pPr>
        <w:spacing w:after="60"/>
        <w:ind w:left="360"/>
      </w:pPr>
      <w:r>
        <w:rPr>
          <w:sz w:val="21"/>
          <w:szCs w:val="21"/>
        </w:rPr>
        <w:t xml:space="preserve">Doorrekening van scenario's op kasstroom, ICR, DSCR, marktwaarde over de strategische horizon.</w:t>
      </w:r>
    </w:p>
    <w:p>
      <w:pPr>
        <w:pStyle w:val="ListParagraph"/>
        <w:numPr>
          <w:ilvl w:val="0"/>
          <w:numId w:val="2"/>
        </w:numPr>
        <w:spacing w:after="40"/>
      </w:pPr>
      <w:r>
        <w:rPr>
          <w:color w:val="595959"/>
          <w:sz w:val="20"/>
          <w:szCs w:val="20"/>
        </w:rPr>
        <w:t xml:space="preserve">Financiële projecties per scenario</w:t>
      </w:r>
    </w:p>
    <w:p>
      <w:pPr>
        <w:spacing w:after="60" w:before="120"/>
      </w:pPr>
      <w:r>
        <w:rPr>
          <w:b/>
          <w:bCs/>
          <w:sz w:val="22"/>
          <w:szCs w:val="22"/>
        </w:rPr>
        <w:t xml:space="preserve">4. Stakeholder-consultatie en bestuurlijke afweging</w:t>
      </w:r>
      <w:r>
        <w:rPr>
          <w:b/>
          <w:bCs/>
          <w:color w:val="0F2744"/>
          <w:sz w:val="18"/>
          <w:szCs w:val="18"/>
        </w:rPr>
        <w:t xml:space="preserve"> [bewijs vereist]</w:t>
      </w:r>
    </w:p>
    <w:p>
      <w:pPr>
        <w:spacing w:after="60"/>
        <w:ind w:left="360"/>
      </w:pPr>
      <w:r>
        <w:rPr>
          <w:sz w:val="21"/>
          <w:szCs w:val="21"/>
        </w:rPr>
        <w:t xml:space="preserve">Consultatie van huurdersorganisatie en gemeente, bestuurlijke weging van scenario's.</w:t>
      </w:r>
    </w:p>
    <w:p>
      <w:pPr>
        <w:pStyle w:val="ListParagraph"/>
        <w:numPr>
          <w:ilvl w:val="0"/>
          <w:numId w:val="2"/>
        </w:numPr>
        <w:spacing w:after="40"/>
      </w:pPr>
      <w:r>
        <w:rPr>
          <w:color w:val="595959"/>
          <w:sz w:val="20"/>
          <w:szCs w:val="20"/>
        </w:rPr>
        <w:t xml:space="preserve">Consultatieverslagen</w:t>
      </w:r>
    </w:p>
    <w:p>
      <w:pPr>
        <w:pStyle w:val="ListParagraph"/>
        <w:numPr>
          <w:ilvl w:val="0"/>
          <w:numId w:val="2"/>
        </w:numPr>
        <w:spacing w:after="40"/>
      </w:pPr>
      <w:r>
        <w:rPr>
          <w:color w:val="595959"/>
          <w:sz w:val="20"/>
          <w:szCs w:val="20"/>
        </w:rPr>
        <w:t xml:space="preserve">Bestuurlijke weging</w:t>
      </w:r>
    </w:p>
    <w:p>
      <w:pPr>
        <w:spacing w:after="60" w:before="120"/>
      </w:pPr>
      <w:r>
        <w:rPr>
          <w:b/>
          <w:bCs/>
          <w:sz w:val="22"/>
          <w:szCs w:val="22"/>
        </w:rPr>
        <w:t xml:space="preserve">5. Vaststelling SVB en RvC-goedkeuring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 stelt SVB vast, RvC verleent goedkeuring.</w:t>
      </w:r>
    </w:p>
    <w:p>
      <w:pPr>
        <w:pStyle w:val="ListParagraph"/>
        <w:numPr>
          <w:ilvl w:val="0"/>
          <w:numId w:val="2"/>
        </w:numPr>
        <w:spacing w:after="40"/>
      </w:pPr>
      <w:r>
        <w:rPr>
          <w:color w:val="595959"/>
          <w:sz w:val="20"/>
          <w:szCs w:val="20"/>
        </w:rPr>
        <w:t xml:space="preserve">SVB-document</w:t>
      </w:r>
    </w:p>
    <w:p>
      <w:pPr>
        <w:pStyle w:val="ListParagraph"/>
        <w:numPr>
          <w:ilvl w:val="0"/>
          <w:numId w:val="2"/>
        </w:numPr>
        <w:spacing w:after="40"/>
      </w:pPr>
      <w:r>
        <w:rPr>
          <w:color w:val="595959"/>
          <w:sz w:val="20"/>
          <w:szCs w:val="20"/>
        </w:rPr>
        <w:t xml:space="preserve">RvC-goedkeuring</w:t>
      </w:r>
    </w:p>
    <w:p>
      <w:pPr>
        <w:spacing w:after="60" w:before="120"/>
      </w:pPr>
      <w:r>
        <w:rPr>
          <w:b/>
          <w:bCs/>
          <w:sz w:val="22"/>
          <w:szCs w:val="22"/>
        </w:rPr>
        <w:t xml:space="preserve">6. Vertaling naar uitvoeringsplan en monitoring</w:t>
      </w:r>
      <w:r>
        <w:rPr>
          <w:b/>
          <w:bCs/>
          <w:color w:val="0F2744"/>
          <w:sz w:val="18"/>
          <w:szCs w:val="18"/>
        </w:rPr>
        <w:t xml:space="preserve"> [bewijs vereist]</w:t>
      </w:r>
    </w:p>
    <w:p>
      <w:pPr>
        <w:spacing w:after="60"/>
        <w:ind w:left="360"/>
      </w:pPr>
      <w:r>
        <w:rPr>
          <w:sz w:val="21"/>
          <w:szCs w:val="21"/>
        </w:rPr>
        <w:t xml:space="preserve">Doorvertaling naar jaarschijven, projecten en KPI's. Periodieke monitoring tegen het SVB.</w:t>
      </w:r>
    </w:p>
    <w:p>
      <w:pPr>
        <w:pStyle w:val="ListParagraph"/>
        <w:numPr>
          <w:ilvl w:val="0"/>
          <w:numId w:val="2"/>
        </w:numPr>
        <w:spacing w:after="40"/>
      </w:pPr>
      <w:r>
        <w:rPr>
          <w:color w:val="595959"/>
          <w:sz w:val="20"/>
          <w:szCs w:val="20"/>
        </w:rPr>
        <w:t xml:space="preserve">Uitvoeringsplan jaar 1</w:t>
      </w:r>
    </w:p>
    <w:p>
      <w:pPr>
        <w:pStyle w:val="ListParagraph"/>
        <w:numPr>
          <w:ilvl w:val="0"/>
          <w:numId w:val="2"/>
        </w:numPr>
        <w:spacing w:after="40"/>
      </w:pPr>
      <w:r>
        <w:rPr>
          <w:color w:val="595959"/>
          <w:sz w:val="20"/>
          <w:szCs w:val="20"/>
        </w:rPr>
        <w:t xml:space="preserve">Monitoring-cadens belegd</w:t>
      </w:r>
    </w:p>
    <w:p>
      <w:pPr>
        <w:spacing w:after="100" w:before="240"/>
      </w:pPr>
      <w:r>
        <w:rPr>
          <w:b/>
          <w:bCs/>
          <w:color w:val="0F2744"/>
          <w:sz w:val="24"/>
          <w:szCs w:val="24"/>
        </w:rPr>
        <w:t xml:space="preserve">Aandachtspunten en typische valkuilen</w:t>
      </w:r>
    </w:p>
    <w:p>
      <w:pPr>
        <w:spacing w:after="320"/>
      </w:pPr>
      <w:r>
        <w:rPr>
          <w:i/>
          <w:iCs/>
          <w:sz w:val="22"/>
          <w:szCs w:val="22"/>
        </w:rPr>
        <w:t xml:space="preserve">SVB-trajecten zijn vaak 'bottom-up' georganiseerd waardoor ze de neiging hebben de status quo te bevestigen — elk complex heeft zijn eigen verhaal en samen wordt dat het plan. Dwing in de scenario-ontwikkeling fundamenteel verschillende strategische keuzes af, anders krijg je een mooi boek met teveel continuiteit en te weinig richting.</w:t>
      </w:r>
    </w:p>
    <w:p>
      <w:pPr>
        <w:pStyle w:val="Heading2"/>
      </w:pPr>
      <w:r>
        <w:t xml:space="preserve">Aw-melding (statuten, bestuurssamenstelling, materieel incident)</w:t>
      </w:r>
    </w:p>
    <w:p>
      <w:pPr>
        <w:spacing w:after="200"/>
      </w:pPr>
      <w:r>
        <w:rPr>
          <w:sz w:val="22"/>
          <w:szCs w:val="22"/>
        </w:rPr>
        <w:t xml:space="preserve">Diverse wijzigingen of gebeurtenissen zijn meldingsplichtig bij de Autoriteit Woningcorporaties: statutenwijziging, RvC-bezetting, bestuurssamenstelling, materieel incident, integriteit-issue.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Aanleiding / trigger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Voorgenomen wijziging of geconstateerd incident</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Frequentie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 aanleiding (meerdere keren per jaar)</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Eigenaar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Bestuur, met operationele rol bestuurssecretariaat</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Doorlooptijd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 weken afhankelijk van type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b/>
                <w:bCs/>
                <w:sz w:val="20"/>
                <w:szCs w:val="20"/>
              </w:rPr>
              <w:t xml:space="preserve">Regelgeving</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Woningwet 2015, BTIV, Beleidsregels Aw meldingen</w:t>
            </w:r>
          </w:p>
        </w:tc>
      </w:tr>
    </w:tbl>
    <w:p>
      <w:pPr>
        <w:spacing w:after="200"/>
      </w:pPr>
    </w:p>
    <w:p>
      <w:pPr>
        <w:spacing w:after="100" w:before="200"/>
      </w:pPr>
      <w:r>
        <w:rPr>
          <w:b/>
          <w:bCs/>
          <w:color w:val="0F2744"/>
          <w:sz w:val="24"/>
          <w:szCs w:val="24"/>
        </w:rPr>
        <w:t xml:space="preserve">Stappen</w:t>
      </w:r>
    </w:p>
    <w:p>
      <w:pPr>
        <w:spacing w:after="60" w:before="120"/>
      </w:pPr>
      <w:r>
        <w:rPr>
          <w:b/>
          <w:bCs/>
          <w:sz w:val="22"/>
          <w:szCs w:val="22"/>
        </w:rPr>
        <w:t xml:space="preserve">1. Vaststellen meldenswaardigheid en termijn</w:t>
      </w:r>
      <w:r>
        <w:rPr>
          <w:b/>
          <w:bCs/>
          <w:color w:val="0F2744"/>
          <w:sz w:val="18"/>
          <w:szCs w:val="18"/>
        </w:rPr>
        <w:t xml:space="preserve"> [bewijs vereist]</w:t>
      </w:r>
    </w:p>
    <w:p>
      <w:pPr>
        <w:spacing w:after="60"/>
        <w:ind w:left="360"/>
      </w:pPr>
      <w:r>
        <w:rPr>
          <w:sz w:val="21"/>
          <w:szCs w:val="21"/>
        </w:rPr>
        <w:t xml:space="preserve">Bepaling welke melding van toepassing is en binnen welke termijn die moet worden gedaan.</w:t>
      </w:r>
    </w:p>
    <w:p>
      <w:pPr>
        <w:pStyle w:val="ListParagraph"/>
        <w:numPr>
          <w:ilvl w:val="0"/>
          <w:numId w:val="2"/>
        </w:numPr>
        <w:spacing w:after="40"/>
      </w:pPr>
      <w:r>
        <w:rPr>
          <w:color w:val="595959"/>
          <w:sz w:val="20"/>
          <w:szCs w:val="20"/>
        </w:rPr>
        <w:t xml:space="preserve">Type melding gedefinieerd</w:t>
      </w:r>
    </w:p>
    <w:p>
      <w:pPr>
        <w:pStyle w:val="ListParagraph"/>
        <w:numPr>
          <w:ilvl w:val="0"/>
          <w:numId w:val="2"/>
        </w:numPr>
        <w:spacing w:after="40"/>
      </w:pPr>
      <w:r>
        <w:rPr>
          <w:color w:val="595959"/>
          <w:sz w:val="20"/>
          <w:szCs w:val="20"/>
        </w:rPr>
        <w:t xml:space="preserve">Termijn vastgesteld</w:t>
      </w:r>
    </w:p>
    <w:p>
      <w:pPr>
        <w:spacing w:after="60" w:before="120"/>
      </w:pPr>
      <w:r>
        <w:rPr>
          <w:b/>
          <w:bCs/>
          <w:sz w:val="22"/>
          <w:szCs w:val="22"/>
        </w:rPr>
        <w:t xml:space="preserve">2. Dossieropbouw</w:t>
      </w:r>
      <w:r>
        <w:rPr>
          <w:b/>
          <w:bCs/>
          <w:color w:val="0F2744"/>
          <w:sz w:val="18"/>
          <w:szCs w:val="18"/>
        </w:rPr>
        <w:t xml:space="preserve"> [bewijs vereist]</w:t>
      </w:r>
    </w:p>
    <w:p>
      <w:pPr>
        <w:spacing w:after="60"/>
        <w:ind w:left="360"/>
      </w:pPr>
      <w:r>
        <w:rPr>
          <w:sz w:val="21"/>
          <w:szCs w:val="21"/>
        </w:rPr>
        <w:t xml:space="preserve">Verzamelen van benodigde stukken: statuten, KvK-uittreksels, profielschetsen, geschiktheidsverklaringen, incidentdocumentatie.</w:t>
      </w:r>
    </w:p>
    <w:p>
      <w:pPr>
        <w:pStyle w:val="ListParagraph"/>
        <w:numPr>
          <w:ilvl w:val="0"/>
          <w:numId w:val="2"/>
        </w:numPr>
        <w:spacing w:after="40"/>
      </w:pPr>
      <w:r>
        <w:rPr>
          <w:color w:val="595959"/>
          <w:sz w:val="20"/>
          <w:szCs w:val="20"/>
        </w:rPr>
        <w:t xml:space="preserve">Dossier compleet</w:t>
      </w:r>
    </w:p>
    <w:p>
      <w:pPr>
        <w:spacing w:after="60" w:before="120"/>
      </w:pPr>
      <w:r>
        <w:rPr>
          <w:b/>
          <w:bCs/>
          <w:sz w:val="22"/>
          <w:szCs w:val="22"/>
        </w:rPr>
        <w:t xml:space="preserve">3. Bestuurlijk akkoord en indiening</w:t>
      </w:r>
      <w:r>
        <w:rPr>
          <w:b/>
          <w:bCs/>
          <w:color w:val="0F2744"/>
          <w:sz w:val="18"/>
          <w:szCs w:val="18"/>
        </w:rPr>
        <w:t xml:space="preserve"> [bewijs vereist]</w:t>
      </w:r>
      <w:r>
        <w:rPr>
          <w:b/>
          <w:bCs/>
          <w:color w:val="C9A84C"/>
          <w:sz w:val="18"/>
          <w:szCs w:val="18"/>
        </w:rPr>
        <w:t xml:space="preserve"> [besluit vereist]</w:t>
      </w:r>
    </w:p>
    <w:p>
      <w:pPr>
        <w:spacing w:after="60"/>
        <w:ind w:left="360"/>
      </w:pPr>
      <w:r>
        <w:rPr>
          <w:sz w:val="21"/>
          <w:szCs w:val="21"/>
        </w:rPr>
        <w:t xml:space="preserve">Bestuurlijke akkoord op de melding (RvC waar van toepassing), indiening via Aw-portaal.</w:t>
      </w:r>
    </w:p>
    <w:p>
      <w:pPr>
        <w:pStyle w:val="ListParagraph"/>
        <w:numPr>
          <w:ilvl w:val="0"/>
          <w:numId w:val="2"/>
        </w:numPr>
        <w:spacing w:after="40"/>
      </w:pPr>
      <w:r>
        <w:rPr>
          <w:color w:val="595959"/>
          <w:sz w:val="20"/>
          <w:szCs w:val="20"/>
        </w:rPr>
        <w:t xml:space="preserve">Bestuursbesluit melding</w:t>
      </w:r>
    </w:p>
    <w:p>
      <w:pPr>
        <w:pStyle w:val="ListParagraph"/>
        <w:numPr>
          <w:ilvl w:val="0"/>
          <w:numId w:val="2"/>
        </w:numPr>
        <w:spacing w:after="40"/>
      </w:pPr>
      <w:r>
        <w:rPr>
          <w:color w:val="595959"/>
          <w:sz w:val="20"/>
          <w:szCs w:val="20"/>
        </w:rPr>
        <w:t xml:space="preserve">Bevestiging Aw-ontvangst</w:t>
      </w:r>
    </w:p>
    <w:p>
      <w:pPr>
        <w:spacing w:after="60" w:before="120"/>
      </w:pPr>
      <w:r>
        <w:rPr>
          <w:b/>
          <w:bCs/>
          <w:sz w:val="22"/>
          <w:szCs w:val="22"/>
        </w:rPr>
        <w:t xml:space="preserve">4. Eventuele Aw-vragen en aanvullingen</w:t>
      </w:r>
      <w:r>
        <w:rPr>
          <w:b/>
          <w:bCs/>
          <w:color w:val="0F2744"/>
          <w:sz w:val="18"/>
          <w:szCs w:val="18"/>
        </w:rPr>
        <w:t xml:space="preserve"> [bewijs vereist]</w:t>
      </w:r>
    </w:p>
    <w:p>
      <w:pPr>
        <w:spacing w:after="60"/>
        <w:ind w:left="360"/>
      </w:pPr>
      <w:r>
        <w:rPr>
          <w:sz w:val="21"/>
          <w:szCs w:val="21"/>
        </w:rPr>
        <w:t xml:space="preserve">Beantwoording van Aw-vragen, eventuele aanvullingen op het dossier.</w:t>
      </w:r>
    </w:p>
    <w:p>
      <w:pPr>
        <w:pStyle w:val="ListParagraph"/>
        <w:numPr>
          <w:ilvl w:val="0"/>
          <w:numId w:val="2"/>
        </w:numPr>
        <w:spacing w:after="40"/>
      </w:pPr>
      <w:r>
        <w:rPr>
          <w:color w:val="595959"/>
          <w:sz w:val="20"/>
          <w:szCs w:val="20"/>
        </w:rPr>
        <w:t xml:space="preserve">Vragen beantwoord</w:t>
      </w:r>
    </w:p>
    <w:p>
      <w:pPr>
        <w:spacing w:after="60" w:before="120"/>
      </w:pPr>
      <w:r>
        <w:rPr>
          <w:b/>
          <w:bCs/>
          <w:sz w:val="22"/>
          <w:szCs w:val="22"/>
        </w:rPr>
        <w:t xml:space="preserve">5. Afronding en archivering</w:t>
      </w:r>
      <w:r>
        <w:rPr>
          <w:b/>
          <w:bCs/>
          <w:color w:val="0F2744"/>
          <w:sz w:val="18"/>
          <w:szCs w:val="18"/>
        </w:rPr>
        <w:t xml:space="preserve"> [bewijs vereist]</w:t>
      </w:r>
    </w:p>
    <w:p>
      <w:pPr>
        <w:spacing w:after="60"/>
        <w:ind w:left="360"/>
      </w:pPr>
      <w:r>
        <w:rPr>
          <w:sz w:val="21"/>
          <w:szCs w:val="21"/>
        </w:rPr>
        <w:t xml:space="preserve">Bevestiging Aw-afhandeling, archivering volledig dossier voor toekomstige referentie.</w:t>
      </w:r>
    </w:p>
    <w:p>
      <w:pPr>
        <w:pStyle w:val="ListParagraph"/>
        <w:numPr>
          <w:ilvl w:val="0"/>
          <w:numId w:val="2"/>
        </w:numPr>
        <w:spacing w:after="40"/>
      </w:pPr>
      <w:r>
        <w:rPr>
          <w:color w:val="595959"/>
          <w:sz w:val="20"/>
          <w:szCs w:val="20"/>
        </w:rPr>
        <w:t xml:space="preserve">Afhandelingsbevestiging</w:t>
      </w:r>
    </w:p>
    <w:p>
      <w:pPr>
        <w:pStyle w:val="ListParagraph"/>
        <w:numPr>
          <w:ilvl w:val="0"/>
          <w:numId w:val="2"/>
        </w:numPr>
        <w:spacing w:after="40"/>
      </w:pPr>
      <w:r>
        <w:rPr>
          <w:color w:val="595959"/>
          <w:sz w:val="20"/>
          <w:szCs w:val="20"/>
        </w:rPr>
        <w:t xml:space="preserve">Dossier gearchiveerd</w:t>
      </w:r>
    </w:p>
    <w:p>
      <w:pPr>
        <w:spacing w:after="100" w:before="240"/>
      </w:pPr>
      <w:r>
        <w:rPr>
          <w:b/>
          <w:bCs/>
          <w:color w:val="0F2744"/>
          <w:sz w:val="24"/>
          <w:szCs w:val="24"/>
        </w:rPr>
        <w:t xml:space="preserve">Aandachtspunten en typische valkuilen</w:t>
      </w:r>
    </w:p>
    <w:p>
      <w:pPr>
        <w:spacing w:after="320"/>
      </w:pPr>
      <w:r>
        <w:rPr>
          <w:i/>
          <w:iCs/>
          <w:sz w:val="22"/>
          <w:szCs w:val="22"/>
        </w:rPr>
        <w:t xml:space="preserve">Aw-meldingen worden vaak ad-hoc behandeld door het bestuurssecretariaat, met als risico dat termijnen worden gemist. Een centraal overzicht van alle lopende en verwachte meldingen, gekoppeld aan een vaste maandelijkse check, voorkomt verassingen.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Pagina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Procedures per sector — bestuurdersportaal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F2744"/>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0F27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Procedures per sector</dc:title>
  <dc:creator>Bestuurdersportaal</dc:creator>
  <dc:description>Template-ready uitwerkingen van bestuurlijke procedures voor pensioenfondsen, verzekeraars en woningcorporaties.</dc:description>
  <cp:lastModifiedBy>Un-named</cp:lastModifiedBy>
  <cp:revision>1</cp:revision>
  <dcterms:created xsi:type="dcterms:W3CDTF">2026-05-05T14:58:37.275Z</dcterms:created>
  <dcterms:modified xsi:type="dcterms:W3CDTF">2026-05-05T14:58:37.275Z</dcterms:modified>
</cp:coreProperties>
</file>

<file path=docProps/custom.xml><?xml version="1.0" encoding="utf-8"?>
<Properties xmlns="http://schemas.openxmlformats.org/officeDocument/2006/custom-properties" xmlns:vt="http://schemas.openxmlformats.org/officeDocument/2006/docPropsVTypes"/>
</file>