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2"/>
          <w:szCs w:val="32"/>
        </w:rPr>
        <w:t xml:space="preserve">VocabWise Academic — Book 3 — Mastery (C1–C2)</w:t>
      </w:r>
    </w:p>
    <w:p>
      <w:pPr>
        <w:spacing w:after="800"/>
        <w:jc w:val="center"/>
      </w:pPr>
      <w:r>
        <w:rPr>
          <w:rFonts w:ascii="Calibri" w:cs="Calibri" w:eastAsia="Calibri" w:hAnsi="Calibri"/>
          <w:color w:val="6B7280"/>
          <w:sz w:val="22"/>
          <w:szCs w:val="22"/>
        </w:rPr>
        <w:t xml:space="preserve">Reading Passages — 60 topics</w:t>
      </w:r>
    </w:p>
    <w:p>
      <w:pPr>
        <w:spacing w:after="80"/>
      </w:pPr>
      <w:r>
        <w:rPr>
          <w:rFonts w:ascii="Calibri" w:cs="Calibri" w:eastAsia="Calibri" w:hAnsi="Calibri"/>
          <w:b/>
          <w:bCs/>
          <w:color w:val="6B7280"/>
          <w:sz w:val="20"/>
          <w:szCs w:val="20"/>
        </w:rPr>
        <w:t xml:space="preserve">B3-T01</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 Education &amp; Learning</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Debates around pedagogy have intensified in recent decades as educators grapple with rising disparity in educational outcomes. While formal credentials remain the gatekeepers of professional life, critics argue that rigid curriculum design stifles cognitive growth and fails to foster independent thinking. A system built solely on standardised testing risks rewarding conformity over genuine intellectual development.</w:t>
      </w:r>
    </w:p>
    <w:p>
      <w:pPr>
        <w:spacing w:after="200"/>
        <w:jc w:val="both"/>
      </w:pPr>
      <w:r>
        <w:rPr>
          <w:rFonts w:ascii="Calibri" w:cs="Calibri" w:eastAsia="Calibri" w:hAnsi="Calibri"/>
          <w:sz w:val="22"/>
          <w:szCs w:val="22"/>
        </w:rPr>
        <w:t xml:space="preserve">A key concern is attainment: research consistently shows that socioeconomic background strongly predicts academic success. Policymakers who seek to close the attainment gap must invest not only in school resources but in early childhood nutrition, housing stability, and family support. Without these structural interventions, education alone cannot overcome entrenched disadvantage.</w:t>
      </w:r>
    </w:p>
    <w:p>
      <w:pPr>
        <w:spacing w:after="200"/>
        <w:jc w:val="both"/>
      </w:pPr>
      <w:r>
        <w:rPr>
          <w:rFonts w:ascii="Calibri" w:cs="Calibri" w:eastAsia="Calibri" w:hAnsi="Calibri"/>
          <w:sz w:val="22"/>
          <w:szCs w:val="22"/>
        </w:rPr>
        <w:t xml:space="preserve">Literacy — both in traditional and digital forms — underpins all other learning. Yet access to quality education remains deeply unequal. Efforts to widen access to higher education through scholarships, online platforms, and flexible entry requirements have shown promise, but they must be matched by genuine institutional commitment rather than token gestures. Moves to challenge elitist structures within universities remain politically contested.</w:t>
      </w:r>
    </w:p>
    <w:p>
      <w:pPr>
        <w:spacing w:after="200"/>
        <w:jc w:val="both"/>
      </w:pPr>
      <w:r>
        <w:rPr>
          <w:rFonts w:ascii="Calibri" w:cs="Calibri" w:eastAsia="Calibri" w:hAnsi="Calibri"/>
          <w:sz w:val="22"/>
          <w:szCs w:val="22"/>
        </w:rPr>
        <w:t xml:space="preserve">Ultimately, the goal of education should be to cultivate autonomy: the capacity to think critically, adapt to change, and promote lifelong learning. A true meritocracy depends not on who can memorise facts most efficiently but on whether all learners have an equal opportunity to develop their potential. Retention of knowledge matters far less than the ability to question, connect ideas, and grow beyond the classroom.</w:t>
      </w:r>
    </w:p>
    <w:p>
      <w:r>
        <w:br w:type="page"/>
      </w:r>
    </w:p>
    <w:p>
      <w:pPr>
        <w:spacing w:after="80"/>
      </w:pPr>
      <w:r>
        <w:rPr>
          <w:rFonts w:ascii="Calibri" w:cs="Calibri" w:eastAsia="Calibri" w:hAnsi="Calibri"/>
          <w:b/>
          <w:bCs/>
          <w:color w:val="6B7280"/>
          <w:sz w:val="20"/>
          <w:szCs w:val="20"/>
        </w:rPr>
        <w:t xml:space="preserve">B3-T02</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 Work &amp; Career Challenges</w:t>
      </w:r>
    </w:p>
    <w:p>
      <w:pPr>
        <w:spacing w:after="240"/>
      </w:pPr>
      <w:r>
        <w:rPr>
          <w:rFonts w:ascii="Calibri" w:cs="Calibri" w:eastAsia="Calibri" w:hAnsi="Calibri"/>
          <w:i/>
          <w:iCs/>
          <w:color w:val="9CA3AF"/>
          <w:sz w:val="18"/>
          <w:szCs w:val="18"/>
        </w:rPr>
        <w:t xml:space="preserve">220 words</w:t>
      </w:r>
    </w:p>
    <w:p>
      <w:pPr>
        <w:spacing w:after="200"/>
        <w:jc w:val="both"/>
      </w:pPr>
      <w:r>
        <w:rPr>
          <w:rFonts w:ascii="Calibri" w:cs="Calibri" w:eastAsia="Calibri" w:hAnsi="Calibri"/>
          <w:sz w:val="22"/>
          <w:szCs w:val="22"/>
        </w:rPr>
        <w:t xml:space="preserve">For many people, choosing a vocation is one of the most consequential decisions of adult life. Yet the modern workplace rarely resembles the stable, predictable environment earlier generations knew. Rising workload pressures, blurred boundaries between professional and personal time, and the constant threat of redundancy in the age of automation have made it harder than ever to navigate workplace expectations without sacrificing personal wellbeing.</w:t>
      </w:r>
    </w:p>
    <w:p>
      <w:pPr>
        <w:spacing w:after="200"/>
        <w:jc w:val="both"/>
      </w:pPr>
      <w:r>
        <w:rPr>
          <w:rFonts w:ascii="Calibri" w:cs="Calibri" w:eastAsia="Calibri" w:hAnsi="Calibri"/>
          <w:sz w:val="22"/>
          <w:szCs w:val="22"/>
        </w:rPr>
        <w:t xml:space="preserve">Aspiration drives ambition, but ambition unchecked breeds exhaustion. Professionals who push relentlessly to climb the career ladder without adequate support risk entering a cycle of chronic stress that culminates in burnout — a state of deep physical and emotional depletion. Those who face professional burnout often describe a loss of purpose, reduced productivity, and profound disillusionment with careers they once found deeply meaningful.</w:t>
      </w:r>
    </w:p>
    <w:p>
      <w:pPr>
        <w:spacing w:after="200"/>
        <w:jc w:val="both"/>
      </w:pPr>
      <w:r>
        <w:rPr>
          <w:rFonts w:ascii="Calibri" w:cs="Calibri" w:eastAsia="Calibri" w:hAnsi="Calibri"/>
          <w:sz w:val="22"/>
          <w:szCs w:val="22"/>
        </w:rPr>
        <w:t xml:space="preserve">Structural inequalities further complicate individual progress. Mobility — whether upward through promotion or lateral through industry transition — depends heavily on access to networks, training, and opportunity. Employees who seek career mentorship gain measurable advantages: those with a strong mentorship relationship are significantly more likely to receive promotions, build confidence, and successfully negotiate a pay rise compared to their unmentored peers.</w:t>
      </w:r>
    </w:p>
    <w:p>
      <w:pPr>
        <w:spacing w:after="200"/>
        <w:jc w:val="both"/>
      </w:pPr>
      <w:r>
        <w:rPr>
          <w:rFonts w:ascii="Calibri" w:cs="Calibri" w:eastAsia="Calibri" w:hAnsi="Calibri"/>
          <w:sz w:val="22"/>
          <w:szCs w:val="22"/>
        </w:rPr>
        <w:t xml:space="preserve">Sustainable career development requires honest appraisal of one's skills, values, and limits. Fair remuneration — not only in salary but in recognition and development opportunities — is essential for long-term engagement. As younger workers increasingly reject the culture of overwork, organisations that fail to evolve their practices may find themselves unable to attract or retain the talent they need.</w:t>
      </w:r>
    </w:p>
    <w:p>
      <w:r>
        <w:br w:type="page"/>
      </w:r>
    </w:p>
    <w:p>
      <w:pPr>
        <w:spacing w:after="80"/>
      </w:pPr>
      <w:r>
        <w:rPr>
          <w:rFonts w:ascii="Calibri" w:cs="Calibri" w:eastAsia="Calibri" w:hAnsi="Calibri"/>
          <w:b/>
          <w:bCs/>
          <w:color w:val="6B7280"/>
          <w:sz w:val="20"/>
          <w:szCs w:val="20"/>
        </w:rPr>
        <w:t xml:space="preserve">B3-T03</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 Relationships &amp; Modern Society</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In modern society, the nature of human connection is undergoing profound transformation. While people have always sought intimacy and a sense of attachment with others, digital communication has reshaped how bonds are formed and sustained. The capacity to build meaningful relationships now competes with an ever-growing culture of superficial contact, raising questions about whether depth of connection is being sacrificed for breadth.</w:t>
      </w:r>
    </w:p>
    <w:p>
      <w:pPr>
        <w:spacing w:after="200"/>
        <w:jc w:val="both"/>
      </w:pPr>
      <w:r>
        <w:rPr>
          <w:rFonts w:ascii="Calibri" w:cs="Calibri" w:eastAsia="Calibri" w:hAnsi="Calibri"/>
          <w:sz w:val="22"/>
          <w:szCs w:val="22"/>
        </w:rPr>
        <w:t xml:space="preserve">Sociologists note that interdependence remains fundamental to human wellbeing, yet alienation and estrangement are rising in urban populations. Many individuals struggle to navigate emotional vulnerability, finding it difficult to expose their inner lives to others. This reluctance undermines reciprocity — the mutual give-and-take that sustains lasting bonds — and can lead to the gradual dissolution of even long-standing relationships.</w:t>
      </w:r>
    </w:p>
    <w:p>
      <w:pPr>
        <w:spacing w:after="200"/>
        <w:jc w:val="both"/>
      </w:pPr>
      <w:r>
        <w:rPr>
          <w:rFonts w:ascii="Calibri" w:cs="Calibri" w:eastAsia="Calibri" w:hAnsi="Calibri"/>
          <w:sz w:val="22"/>
          <w:szCs w:val="22"/>
        </w:rPr>
        <w:t xml:space="preserve">A further challenge is the question of compatibility. As people increasingly meet through algorithms rather than shared communities, commitment can feel conditional and temporary. Couples who maintain long-distance relationships face particular pressure, as physical separation tests both vulnerability and trust. Without a conscious effort to foster mutual understanding, even compatible partners may drift apart.</w:t>
      </w:r>
    </w:p>
    <w:p>
      <w:pPr>
        <w:spacing w:after="200"/>
        <w:jc w:val="both"/>
      </w:pPr>
      <w:r>
        <w:rPr>
          <w:rFonts w:ascii="Calibri" w:cs="Calibri" w:eastAsia="Calibri" w:hAnsi="Calibri"/>
          <w:sz w:val="22"/>
          <w:szCs w:val="22"/>
        </w:rPr>
        <w:t xml:space="preserve">To overcome social alienation, communities and mental health professionals advocate for environments that encourage open dialogue and authentic connection. Researchers suggest that acknowledging vulnerability as a strength rather than a weakness allows individuals to form deeper ties. Ultimately, the health of a society can be measured not merely by its productivity, but by the quality of the relationships its members are able to build and sustain.</w:t>
      </w:r>
    </w:p>
    <w:p>
      <w:r>
        <w:br w:type="page"/>
      </w:r>
    </w:p>
    <w:p>
      <w:pPr>
        <w:spacing w:after="80"/>
      </w:pPr>
      <w:r>
        <w:rPr>
          <w:rFonts w:ascii="Calibri" w:cs="Calibri" w:eastAsia="Calibri" w:hAnsi="Calibri"/>
          <w:b/>
          <w:bCs/>
          <w:color w:val="6B7280"/>
          <w:sz w:val="20"/>
          <w:szCs w:val="20"/>
        </w:rPr>
        <w:t xml:space="preserve">B3-T04</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 Family Structures &amp; Change</w:t>
      </w:r>
    </w:p>
    <w:p>
      <w:pPr>
        <w:spacing w:after="240"/>
      </w:pPr>
      <w:r>
        <w:rPr>
          <w:rFonts w:ascii="Calibri" w:cs="Calibri" w:eastAsia="Calibri" w:hAnsi="Calibri"/>
          <w:i/>
          <w:iCs/>
          <w:color w:val="9CA3AF"/>
          <w:sz w:val="18"/>
          <w:szCs w:val="18"/>
        </w:rPr>
        <w:t xml:space="preserve">219 words</w:t>
      </w:r>
    </w:p>
    <w:p>
      <w:pPr>
        <w:spacing w:after="200"/>
        <w:jc w:val="both"/>
      </w:pPr>
      <w:r>
        <w:rPr>
          <w:rFonts w:ascii="Calibri" w:cs="Calibri" w:eastAsia="Calibri" w:hAnsi="Calibri"/>
          <w:sz w:val="22"/>
          <w:szCs w:val="22"/>
        </w:rPr>
        <w:t xml:space="preserve">The concept of the nuclear family — two parents and their children living in a single household — has long been regarded as the dominant social unit in many Western societies. However, contemporary research reveals that family life is far more diverse. From multi-generational extended households to single-parent homes and cohabitation arrangements, the ways in which people organise domestic life continue to evolve as societies adapt to changing social norms.</w:t>
      </w:r>
    </w:p>
    <w:p>
      <w:pPr>
        <w:spacing w:after="200"/>
        <w:jc w:val="both"/>
      </w:pPr>
      <w:r>
        <w:rPr>
          <w:rFonts w:ascii="Calibri" w:cs="Calibri" w:eastAsia="Calibri" w:hAnsi="Calibri"/>
          <w:sz w:val="22"/>
          <w:szCs w:val="22"/>
        </w:rPr>
        <w:t xml:space="preserve">When marriages or partnerships dissolve, issues of custody, obligation, and kinship become deeply contested. Courts must balance the rights and parenting responsibilities of each adult against the best interests of the child. For many children, this process is complicated further by dysfunction within the household — whether caused by conflict, substance abuse, or economic hardship — making it harder to fulfil parental obligations in a stable and consistent manner.</w:t>
      </w:r>
    </w:p>
    <w:p>
      <w:pPr>
        <w:spacing w:after="200"/>
        <w:jc w:val="both"/>
      </w:pPr>
      <w:r>
        <w:rPr>
          <w:rFonts w:ascii="Calibri" w:cs="Calibri" w:eastAsia="Calibri" w:hAnsi="Calibri"/>
          <w:sz w:val="22"/>
          <w:szCs w:val="22"/>
        </w:rPr>
        <w:t xml:space="preserve">The rise of reconstituted families — households formed when separated parents form new partnerships — requires all members to navigate custody arrangements with sensitivity and patience. Children may find themselves moving between households, acquiring new step-parents and step-siblings. While such arrangements can enrich a child's social world, they also risk producing a sense of fragmentation — a feeling that one's identity is split across multiple, sometimes conflicting, family units.</w:t>
      </w:r>
    </w:p>
    <w:p>
      <w:pPr>
        <w:spacing w:after="200"/>
        <w:jc w:val="both"/>
      </w:pPr>
      <w:r>
        <w:rPr>
          <w:rFonts w:ascii="Calibri" w:cs="Calibri" w:eastAsia="Calibri" w:hAnsi="Calibri"/>
          <w:sz w:val="22"/>
          <w:szCs w:val="22"/>
        </w:rPr>
        <w:t xml:space="preserve">Sociologists argue that rather than lamenting the decline of the traditional nuclear family, societies should redefine family structures to reflect lived realities. Strong kinship networks — biological or chosen — provide resilience and support regardless of their formal configuration. The key indicator of a healthy family is not its structure, but its capacity to cope with family dysfunction when it arises and to offer its members stability, belonging, and love.</w:t>
      </w:r>
    </w:p>
    <w:p>
      <w:r>
        <w:br w:type="page"/>
      </w:r>
    </w:p>
    <w:p>
      <w:pPr>
        <w:spacing w:after="80"/>
      </w:pPr>
      <w:r>
        <w:rPr>
          <w:rFonts w:ascii="Calibri" w:cs="Calibri" w:eastAsia="Calibri" w:hAnsi="Calibri"/>
          <w:b/>
          <w:bCs/>
          <w:color w:val="6B7280"/>
          <w:sz w:val="20"/>
          <w:szCs w:val="20"/>
        </w:rPr>
        <w:t xml:space="preserve">B3-T05</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 Gender &amp; Society</w:t>
      </w:r>
    </w:p>
    <w:p>
      <w:pPr>
        <w:spacing w:after="240"/>
      </w:pPr>
      <w:r>
        <w:rPr>
          <w:rFonts w:ascii="Calibri" w:cs="Calibri" w:eastAsia="Calibri" w:hAnsi="Calibri"/>
          <w:i/>
          <w:iCs/>
          <w:color w:val="9CA3AF"/>
          <w:sz w:val="18"/>
          <w:szCs w:val="18"/>
        </w:rPr>
        <w:t xml:space="preserve">219 words</w:t>
      </w:r>
    </w:p>
    <w:p>
      <w:pPr>
        <w:spacing w:after="200"/>
        <w:jc w:val="both"/>
      </w:pPr>
      <w:r>
        <w:rPr>
          <w:rFonts w:ascii="Calibri" w:cs="Calibri" w:eastAsia="Calibri" w:hAnsi="Calibri"/>
          <w:sz w:val="22"/>
          <w:szCs w:val="22"/>
        </w:rPr>
        <w:t xml:space="preserve">Questions of equality and identity lie at the heart of contemporary debates about gender. In most societies, rigid norms about femininity and masculinity have historically shaped expectations for behaviour, career, and family life. The patriarchy — a social system in which men hold primary power — has long reinforced these structures, creating barriers that limit opportunity for women and gender minorities alike.</w:t>
      </w:r>
    </w:p>
    <w:p>
      <w:pPr>
        <w:spacing w:after="200"/>
        <w:jc w:val="both"/>
      </w:pPr>
      <w:r>
        <w:rPr>
          <w:rFonts w:ascii="Calibri" w:cs="Calibri" w:eastAsia="Calibri" w:hAnsi="Calibri"/>
          <w:sz w:val="22"/>
          <w:szCs w:val="22"/>
        </w:rPr>
        <w:t xml:space="preserve">A key goal of gender activism is to challenge gender stereotypes — fixed, oversimplified beliefs about how people of a given gender should look or act. Such stereotypes distort public representation of women in leadership, science, and politics. Advocates argue that unless societies actively promote equal representation across institutions, progress will remain superficial.</w:t>
      </w:r>
    </w:p>
    <w:p>
      <w:pPr>
        <w:spacing w:after="200"/>
        <w:jc w:val="both"/>
      </w:pPr>
      <w:r>
        <w:rPr>
          <w:rFonts w:ascii="Calibri" w:cs="Calibri" w:eastAsia="Calibri" w:hAnsi="Calibri"/>
          <w:sz w:val="22"/>
          <w:szCs w:val="22"/>
        </w:rPr>
        <w:t xml:space="preserve">Progress also requires efforts to dismantle systemic barriers — institutional policies and cultural attitudes that perpetuate discrimination and bias against women. Unconscious bias, in particular, affects hiring decisions, salary negotiations, and academic evaluation in ways that are difficult to detect. To address this, organisations are urged to confront unconscious bias through structured training and transparent processes.</w:t>
      </w:r>
    </w:p>
    <w:p>
      <w:pPr>
        <w:spacing w:after="200"/>
        <w:jc w:val="both"/>
      </w:pPr>
      <w:r>
        <w:rPr>
          <w:rFonts w:ascii="Calibri" w:cs="Calibri" w:eastAsia="Calibri" w:hAnsi="Calibri"/>
          <w:sz w:val="22"/>
          <w:szCs w:val="22"/>
        </w:rPr>
        <w:t xml:space="preserve">Ultimately, sustainable change depends on the capacity to empower marginalised groups — giving women, non-binary individuals, and other minorities the resources, voice, and agency to shape their own futures. Empowerment is not merely symbolic; it demands concrete shifts in legislation, education, and workplace culture. Only by addressing inequality at every level can societies move towards genuine equality.</w:t>
      </w:r>
    </w:p>
    <w:p>
      <w:r>
        <w:br w:type="page"/>
      </w:r>
    </w:p>
    <w:p>
      <w:pPr>
        <w:spacing w:after="80"/>
      </w:pPr>
      <w:r>
        <w:rPr>
          <w:rFonts w:ascii="Calibri" w:cs="Calibri" w:eastAsia="Calibri" w:hAnsi="Calibri"/>
          <w:b/>
          <w:bCs/>
          <w:color w:val="6B7280"/>
          <w:sz w:val="20"/>
          <w:szCs w:val="20"/>
        </w:rPr>
        <w:t xml:space="preserve">B3-T06</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6. Sport, Health &amp; Performance</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At the highest levels of competitive sport, the difference between athletes is rarely purely physical. Elite performers distinguish themselves not only through raw talent but through extraordinary endurance, rigorous discipline, and the psychology of winning under pressure. The ability to push physical limits consistently — training harder, recovering faster, and sustaining peak effort — separates champions from the rest of the field.</w:t>
      </w:r>
    </w:p>
    <w:p>
      <w:pPr>
        <w:spacing w:after="200"/>
        <w:jc w:val="both"/>
      </w:pPr>
      <w:r>
        <w:rPr>
          <w:rFonts w:ascii="Calibri" w:cs="Calibri" w:eastAsia="Calibri" w:hAnsi="Calibri"/>
          <w:sz w:val="22"/>
          <w:szCs w:val="22"/>
        </w:rPr>
        <w:t xml:space="preserve">Yet the pressure to maintain peak performance can push some athletes towards shortcuts. Doping — the use of banned substances to enhance physical capacity — remains a persistent threat to sporting integrity. High-profile scandals have damaged public trust and sparked debate over whether current anti-doping frameworks are robust enough to uphold sporting integrity at the global level.</w:t>
      </w:r>
    </w:p>
    <w:p>
      <w:pPr>
        <w:spacing w:after="200"/>
        <w:jc w:val="both"/>
      </w:pPr>
      <w:r>
        <w:rPr>
          <w:rFonts w:ascii="Calibri" w:cs="Calibri" w:eastAsia="Calibri" w:hAnsi="Calibri"/>
          <w:sz w:val="22"/>
          <w:szCs w:val="22"/>
        </w:rPr>
        <w:t xml:space="preserve">Sport also functions as a powerful spectacle — a form of public entertainment that captivates billions of fans worldwide. Intense rivalry between competitors and nations elevates tournaments into cultural events, though it occasionally spills over into hostility. Meanwhile, the distinction between amateur and professional sport is increasingly blurred, as grassroots participants pursue the same physiological and psychological gains as professionals.</w:t>
      </w:r>
    </w:p>
    <w:p>
      <w:pPr>
        <w:spacing w:after="200"/>
        <w:jc w:val="both"/>
      </w:pPr>
      <w:r>
        <w:rPr>
          <w:rFonts w:ascii="Calibri" w:cs="Calibri" w:eastAsia="Calibri" w:hAnsi="Calibri"/>
          <w:sz w:val="22"/>
          <w:szCs w:val="22"/>
        </w:rPr>
        <w:t xml:space="preserve">Beyond competition, sport carries a social responsibility to overcome psychological barriers around mental health and to inspire the next generation of athletes. Perseverance in the face of injury, defeat, and self-doubt mirrors the challenges of everyday life. When athletes speak openly about struggle, they validate the human experience and demonstrate that resilience — not just physical ability — defines true elite performance.</w:t>
      </w:r>
    </w:p>
    <w:p>
      <w:r>
        <w:br w:type="page"/>
      </w:r>
    </w:p>
    <w:p>
      <w:pPr>
        <w:spacing w:after="80"/>
      </w:pPr>
      <w:r>
        <w:rPr>
          <w:rFonts w:ascii="Calibri" w:cs="Calibri" w:eastAsia="Calibri" w:hAnsi="Calibri"/>
          <w:b/>
          <w:bCs/>
          <w:color w:val="6B7280"/>
          <w:sz w:val="20"/>
          <w:szCs w:val="20"/>
        </w:rPr>
        <w:t xml:space="preserve">B3-T07</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7. Travel &amp; Cultural Exchange</w:t>
      </w:r>
    </w:p>
    <w:p>
      <w:pPr>
        <w:spacing w:after="240"/>
      </w:pPr>
      <w:r>
        <w:rPr>
          <w:rFonts w:ascii="Calibri" w:cs="Calibri" w:eastAsia="Calibri" w:hAnsi="Calibri"/>
          <w:i/>
          <w:iCs/>
          <w:color w:val="9CA3AF"/>
          <w:sz w:val="18"/>
          <w:szCs w:val="18"/>
        </w:rPr>
        <w:t xml:space="preserve">219 words</w:t>
      </w:r>
    </w:p>
    <w:p>
      <w:pPr>
        <w:spacing w:after="200"/>
        <w:jc w:val="both"/>
      </w:pPr>
      <w:r>
        <w:rPr>
          <w:rFonts w:ascii="Calibri" w:cs="Calibri" w:eastAsia="Calibri" w:hAnsi="Calibri"/>
          <w:sz w:val="22"/>
          <w:szCs w:val="22"/>
        </w:rPr>
        <w:t xml:space="preserve">Travel has long been regarded as one of the most powerful catalysts for personal growth. When individuals move beyond familiar borders, they gain exposure to languages, customs, and worldviews that challenge their preconceptions about how life should be lived. This shift in perspective — seeing one's own culture through new eyes — is widely considered the true reward of genuine cultural immersion, rather than simply visiting tourist attractions.</w:t>
      </w:r>
    </w:p>
    <w:p>
      <w:pPr>
        <w:spacing w:after="200"/>
        <w:jc w:val="both"/>
      </w:pPr>
      <w:r>
        <w:rPr>
          <w:rFonts w:ascii="Calibri" w:cs="Calibri" w:eastAsia="Calibri" w:hAnsi="Calibri"/>
          <w:sz w:val="22"/>
          <w:szCs w:val="22"/>
        </w:rPr>
        <w:t xml:space="preserve">Yet immersive travel is rarely comfortable. Travellers often experience disorientation when confronted with unfamiliar social norms, and must navigate cultural disorientation to function effectively in a new environment. This process demands both curiosity and a willingness to suspend judgement. Those who embrace cultural immersion wholeheartedly tend to develop greater empathy and a richer understanding of human diversity.</w:t>
      </w:r>
    </w:p>
    <w:p>
      <w:pPr>
        <w:spacing w:after="200"/>
        <w:jc w:val="both"/>
      </w:pPr>
      <w:r>
        <w:rPr>
          <w:rFonts w:ascii="Calibri" w:cs="Calibri" w:eastAsia="Calibri" w:hAnsi="Calibri"/>
          <w:sz w:val="22"/>
          <w:szCs w:val="22"/>
        </w:rPr>
        <w:t xml:space="preserve">A key challenge for travellers is distinguishing genuine authenticity from staged cultural performance. Many tourist destinations market carefully curated experiences that confirm rather than challenge stereotypes. To truly broaden cultural perspectives and overcome cultural stereotypes, travellers must seek out unscripted interactions with local communities — sharing meals, learning crafts, or joining everyday rituals.</w:t>
      </w:r>
    </w:p>
    <w:p>
      <w:pPr>
        <w:spacing w:after="200"/>
        <w:jc w:val="both"/>
      </w:pPr>
      <w:r>
        <w:rPr>
          <w:rFonts w:ascii="Calibri" w:cs="Calibri" w:eastAsia="Calibri" w:hAnsi="Calibri"/>
          <w:sz w:val="22"/>
          <w:szCs w:val="22"/>
        </w:rPr>
        <w:t xml:space="preserve">Ultimately, meaningful travel requires adaptation — the ability to adjust one's behaviour and expectations to new contexts — alongside genuine appreciation for differences rather than mere tolerance of them. When approached with openness, cross-cultural contact can foster cross-cultural understanding that transcends the duration of any single trip, reshaping how travellers relate to the wider world long after they return home.</w:t>
      </w:r>
    </w:p>
    <w:p>
      <w:r>
        <w:br w:type="page"/>
      </w:r>
    </w:p>
    <w:p>
      <w:pPr>
        <w:spacing w:after="80"/>
      </w:pPr>
      <w:r>
        <w:rPr>
          <w:rFonts w:ascii="Calibri" w:cs="Calibri" w:eastAsia="Calibri" w:hAnsi="Calibri"/>
          <w:b/>
          <w:bCs/>
          <w:color w:val="6B7280"/>
          <w:sz w:val="20"/>
          <w:szCs w:val="20"/>
        </w:rPr>
        <w:t xml:space="preserve">B3-T08</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8. Consumer Culture &amp; Advertising</w:t>
      </w:r>
    </w:p>
    <w:p>
      <w:pPr>
        <w:spacing w:after="240"/>
      </w:pPr>
      <w:r>
        <w:rPr>
          <w:rFonts w:ascii="Calibri" w:cs="Calibri" w:eastAsia="Calibri" w:hAnsi="Calibri"/>
          <w:i/>
          <w:iCs/>
          <w:color w:val="9CA3AF"/>
          <w:sz w:val="18"/>
          <w:szCs w:val="18"/>
        </w:rPr>
        <w:t xml:space="preserve">223 words</w:t>
      </w:r>
    </w:p>
    <w:p>
      <w:pPr>
        <w:spacing w:after="200"/>
        <w:jc w:val="both"/>
      </w:pPr>
      <w:r>
        <w:rPr>
          <w:rFonts w:ascii="Calibri" w:cs="Calibri" w:eastAsia="Calibri" w:hAnsi="Calibri"/>
          <w:sz w:val="22"/>
          <w:szCs w:val="22"/>
        </w:rPr>
        <w:t xml:space="preserve">Modern consumerism has transformed the act of purchasing from a practical necessity into a cornerstone of personal identity. Advertisers skillfully exploit consumer psychology, using techniques ranging from aspirational imagery to artificial scarcity to trigger impulse buying. The goal is rarely to inform; it is to persuade — and increasingly, through subliminal cues embedded in colour, music, and narrative, to do so without the consumer's conscious awareness.</w:t>
      </w:r>
    </w:p>
    <w:p>
      <w:pPr>
        <w:spacing w:after="200"/>
        <w:jc w:val="both"/>
      </w:pPr>
      <w:r>
        <w:rPr>
          <w:rFonts w:ascii="Calibri" w:cs="Calibri" w:eastAsia="Calibri" w:hAnsi="Calibri"/>
          <w:sz w:val="22"/>
          <w:szCs w:val="22"/>
        </w:rPr>
        <w:t xml:space="preserve">Central to this system is branding — the construction of a perceived identity around a product or company. Effective branding does not merely sell goods; it reinforces materialistic values by equating ownership with status, success, and happiness. This process of commodification — treating social relationships, emotions, and even time as things to be bought and sold — reflects a broader cultural shift in which nearly every human experience becomes a potential market.</w:t>
      </w:r>
    </w:p>
    <w:p>
      <w:pPr>
        <w:spacing w:after="200"/>
        <w:jc w:val="both"/>
      </w:pPr>
      <w:r>
        <w:rPr>
          <w:rFonts w:ascii="Calibri" w:cs="Calibri" w:eastAsia="Calibri" w:hAnsi="Calibri"/>
          <w:sz w:val="22"/>
          <w:szCs w:val="22"/>
        </w:rPr>
        <w:t xml:space="preserve">Critics argue that advertising frequently crosses into manipulation — exploiting cognitive biases, manufacturing aspiration, and fostering materialism that leaves consumers perpetually dissatisfied. When corporations commodify human relationships — marketing friendship, love, or belonging as something that can be purchased — the line between genuine connection and commercial transaction dissolves. This form of exploitation undermines autonomy and distorts social values.</w:t>
      </w:r>
    </w:p>
    <w:p>
      <w:pPr>
        <w:spacing w:after="200"/>
        <w:jc w:val="both"/>
      </w:pPr>
      <w:r>
        <w:rPr>
          <w:rFonts w:ascii="Calibri" w:cs="Calibri" w:eastAsia="Calibri" w:hAnsi="Calibri"/>
          <w:sz w:val="22"/>
          <w:szCs w:val="22"/>
        </w:rPr>
        <w:t xml:space="preserve">Growing awareness of these dynamics has prompted many consumers to resist manipulative advertising and challenge throwaway culture. Movements advocating mindful consumption, product repair, and the secondhand economy represent a pushback against the relentless cycle of desire and disposal that defines contemporary consumerism. Whether such movements can achieve systemic change, or merely occupy a niche within the very market they critique, remains an open question.</w:t>
      </w:r>
    </w:p>
    <w:p>
      <w:r>
        <w:br w:type="page"/>
      </w:r>
    </w:p>
    <w:p>
      <w:pPr>
        <w:spacing w:after="80"/>
      </w:pPr>
      <w:r>
        <w:rPr>
          <w:rFonts w:ascii="Calibri" w:cs="Calibri" w:eastAsia="Calibri" w:hAnsi="Calibri"/>
          <w:b/>
          <w:bCs/>
          <w:color w:val="6B7280"/>
          <w:sz w:val="20"/>
          <w:szCs w:val="20"/>
        </w:rPr>
        <w:t xml:space="preserve">B3-T09</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9. Social Media &amp; Mental Health</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Social media platforms have transformed how people communicate, yet their impact on mental health is deeply contested. Many users develop a psychological addiction to constant scrolling, driven by the need for validation through likes and comments. Platforms are designed to maximise exposure — the frequency and duration of contact with content — by rewarding engagement with dopamine-triggering notifications. As a result, users often find it difficult to disengage, even when platform use begins to harm their wellbeing.</w:t>
      </w:r>
    </w:p>
    <w:p>
      <w:pPr>
        <w:spacing w:after="200"/>
        <w:jc w:val="both"/>
      </w:pPr>
      <w:r>
        <w:rPr>
          <w:rFonts w:ascii="Calibri" w:cs="Calibri" w:eastAsia="Calibri" w:hAnsi="Calibri"/>
          <w:sz w:val="22"/>
          <w:szCs w:val="22"/>
        </w:rPr>
        <w:t xml:space="preserve">A significant concern is the tendency to curate an idealised self-image — presenting only the most flattering moments of one's life. This practice promotes distortion of reality, as audiences receive a highly selective picture of others' lives. Consequently, regular social media use can foster unhealthy social comparison, eroding self-esteem and fuelling feelings of inadequacy, particularly among adolescents.</w:t>
      </w:r>
    </w:p>
    <w:p>
      <w:pPr>
        <w:spacing w:after="200"/>
        <w:jc w:val="both"/>
      </w:pPr>
      <w:r>
        <w:rPr>
          <w:rFonts w:ascii="Calibri" w:cs="Calibri" w:eastAsia="Calibri" w:hAnsi="Calibri"/>
          <w:sz w:val="22"/>
          <w:szCs w:val="22"/>
        </w:rPr>
        <w:t xml:space="preserve">The cloak of anonymity online has enabled widespread harassment, making digital spaces hostile for many users. Research indicates that those who regularly experience cyberbullying often experience digital detachment — a deliberate withdrawal from online life — as a coping mechanism. While this detachment can offer temporary relief, it may also deepen social isolation and reduce opportunities for genuine comparison and peer connection.</w:t>
      </w:r>
    </w:p>
    <w:p>
      <w:pPr>
        <w:spacing w:after="200"/>
        <w:jc w:val="both"/>
      </w:pPr>
      <w:r>
        <w:rPr>
          <w:rFonts w:ascii="Calibri" w:cs="Calibri" w:eastAsia="Calibri" w:hAnsi="Calibri"/>
          <w:sz w:val="22"/>
          <w:szCs w:val="22"/>
        </w:rPr>
        <w:t xml:space="preserve">Despite these risks, educators and mental health professionals are increasingly focusing on ways to combat online harassment and build digital resilience. The adaptability of young people is often cited as a key asset; those who develop critical digital literacy skills are better equipped to navigate online environments without compromising their mental health. Ultimately, cultivating a conscious and reflective relationship with social media remains the most sustainable path forward.</w:t>
      </w:r>
    </w:p>
    <w:p>
      <w:r>
        <w:br w:type="page"/>
      </w:r>
    </w:p>
    <w:p>
      <w:pPr>
        <w:spacing w:after="80"/>
      </w:pPr>
      <w:r>
        <w:rPr>
          <w:rFonts w:ascii="Calibri" w:cs="Calibri" w:eastAsia="Calibri" w:hAnsi="Calibri"/>
          <w:b/>
          <w:bCs/>
          <w:color w:val="6B7280"/>
          <w:sz w:val="20"/>
          <w:szCs w:val="20"/>
        </w:rPr>
        <w:t xml:space="preserve">B3-T10</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10. Work-Life Balance &amp; Wellbeing</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In contemporary professional life, the ability to maintain a healthy work-life balance has become a critical indicator of long-term wellbeing. When the boundaries between work and personal time collapse, individuals risk chronic exhaustion and reduced productivity. Research consistently shows that overworked employees make more errors, demonstrate lower creativity, and are far more likely to experience burnout — a state of profound physical and emotional depletion.</w:t>
      </w:r>
    </w:p>
    <w:p>
      <w:pPr>
        <w:spacing w:after="200"/>
        <w:jc w:val="both"/>
      </w:pPr>
      <w:r>
        <w:rPr>
          <w:rFonts w:ascii="Calibri" w:cs="Calibri" w:eastAsia="Calibri" w:hAnsi="Calibri"/>
          <w:sz w:val="22"/>
          <w:szCs w:val="22"/>
        </w:rPr>
        <w:t xml:space="preserve">A key challenge for modern workers is the tendency towards overcommitment — accepting more responsibilities than one can realistically manage. This is compounded by the rise of remote working, which blurs the boundary between professional and domestic life. Experts recommend that individuals set firm personal boundaries to protect their time for rest and personal pursuits. The desire for gratification from career achievement can otherwise override one's deeper need for restoration and recovery.</w:t>
      </w:r>
    </w:p>
    <w:p>
      <w:pPr>
        <w:spacing w:after="200"/>
        <w:jc w:val="both"/>
      </w:pPr>
      <w:r>
        <w:rPr>
          <w:rFonts w:ascii="Calibri" w:cs="Calibri" w:eastAsia="Calibri" w:hAnsi="Calibri"/>
          <w:sz w:val="22"/>
          <w:szCs w:val="22"/>
        </w:rPr>
        <w:t xml:space="preserve">Organisations that prioritise flexibility in scheduling and working arrangements tend to report higher employee satisfaction and lower turnover rates. When workers feel empowered through self-determination, they are more likely to take ownership of both their professional output and their personal health. Conversely, rigid environments that discourage disengagement from work after hours risk depleting the very human capital they depend upon.</w:t>
      </w:r>
    </w:p>
    <w:p>
      <w:pPr>
        <w:spacing w:after="200"/>
        <w:jc w:val="both"/>
      </w:pPr>
      <w:r>
        <w:rPr>
          <w:rFonts w:ascii="Calibri" w:cs="Calibri" w:eastAsia="Calibri" w:hAnsi="Calibri"/>
          <w:sz w:val="22"/>
          <w:szCs w:val="22"/>
        </w:rPr>
        <w:t xml:space="preserve">Ultimately, the pursuit of equilibrium between professional ambition and personal life is deeply individual. To prevent professional burnout and pursue personal fulfilment, individuals must learn to restore mental and physical energy through sleep, leisure, and meaningful relationships. A sustainable career is one built not on relentless effort alone, but on a conscious boundary between output and renewal.</w:t>
      </w:r>
    </w:p>
    <w:p>
      <w:r>
        <w:br w:type="page"/>
      </w:r>
    </w:p>
    <w:p>
      <w:pPr>
        <w:spacing w:after="80"/>
      </w:pPr>
      <w:r>
        <w:rPr>
          <w:rFonts w:ascii="Calibri" w:cs="Calibri" w:eastAsia="Calibri" w:hAnsi="Calibri"/>
          <w:b/>
          <w:bCs/>
          <w:color w:val="6B7280"/>
          <w:sz w:val="20"/>
          <w:szCs w:val="20"/>
        </w:rPr>
        <w:t xml:space="preserve">B3-T11</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11. Mental Health &amp; Society</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Mental health has emerged as one of the defining public health challenges of the twenty-first century. Despite growing awareness of conditions such as anxiety and depression, a powerful stigma continues to surround those who seek help. In many societies, admitting to psychological struggles is still perceived as a sign of weakness, which discourages individuals from accessing the support they need. Addressing this culture of silence is essential for improving wellbeing at both individual and community levels.</w:t>
      </w:r>
    </w:p>
    <w:p>
      <w:pPr>
        <w:spacing w:after="200"/>
        <w:jc w:val="both"/>
      </w:pPr>
      <w:r>
        <w:rPr>
          <w:rFonts w:ascii="Calibri" w:cs="Calibri" w:eastAsia="Calibri" w:hAnsi="Calibri"/>
          <w:sz w:val="22"/>
          <w:szCs w:val="22"/>
        </w:rPr>
        <w:t xml:space="preserve">A key step forward is to raise public awareness of the fact that mental health disorders are medical conditions, not character flaws. When people understand that depression is as physiological as diabetes, they become more likely to seek professional counselling rather than suffering in silence. Governments and organisations worldwide are investing in campaigns designed to normalise help-seeking behaviour and dismantle harmful stereotypes.</w:t>
      </w:r>
    </w:p>
    <w:p>
      <w:pPr>
        <w:spacing w:after="200"/>
        <w:jc w:val="both"/>
      </w:pPr>
      <w:r>
        <w:rPr>
          <w:rFonts w:ascii="Calibri" w:cs="Calibri" w:eastAsia="Calibri" w:hAnsi="Calibri"/>
          <w:sz w:val="22"/>
          <w:szCs w:val="22"/>
        </w:rPr>
        <w:t xml:space="preserve">Therapy plays a central role in mental health prevention and recovery. Whether cognitive-behavioural, psychodynamic, or group-based, therapeutic approaches equip individuals with tools to manage distressing emotions and reshape unhelpful thought patterns. Building personal resilience is equally important; those who build emotional resilience are better placed to withstand life's inevitable setbacks without slipping into crisis.</w:t>
      </w:r>
    </w:p>
    <w:p>
      <w:pPr>
        <w:spacing w:after="200"/>
        <w:jc w:val="both"/>
      </w:pPr>
      <w:r>
        <w:rPr>
          <w:rFonts w:ascii="Calibri" w:cs="Calibri" w:eastAsia="Calibri" w:hAnsi="Calibri"/>
          <w:sz w:val="22"/>
          <w:szCs w:val="22"/>
        </w:rPr>
        <w:t xml:space="preserve">Ultimately, the goal is to prevent psychological disorders before they take hold, rather than intervening only when crises occur. This requires a shift from reactive to proactive healthcare: investing in school-based mental health programmes, training community workers, and fostering open conversations about emotional struggles. Societies that succeed in reducing stigma and expanding access to counselling will be better equipped to support the mental wellbeing of all their citizens. Efforts to reduce mental health stigma remain among the most urgent priorities in global health today.</w:t>
      </w:r>
    </w:p>
    <w:p>
      <w:r>
        <w:br w:type="page"/>
      </w:r>
    </w:p>
    <w:p>
      <w:pPr>
        <w:spacing w:after="80"/>
      </w:pPr>
      <w:r>
        <w:rPr>
          <w:rFonts w:ascii="Calibri" w:cs="Calibri" w:eastAsia="Calibri" w:hAnsi="Calibri"/>
          <w:b/>
          <w:bCs/>
          <w:color w:val="6B7280"/>
          <w:sz w:val="20"/>
          <w:szCs w:val="20"/>
        </w:rPr>
        <w:t xml:space="preserve">B3-T12</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12. Stress &amp; Coping Mechanisms</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Stress is an inescapable part of modern life, but not all stress is harmful. Short-term pressure can sharpen focus and motivate action. The danger lies in chronic stress — persistent, unrelenting strain that the body was never designed to sustain. When stress becomes chronic, the hormone cortisol is released continuously, disrupting sleep, impairing immunity, and affecting cognitive function. Understanding the biology of stress is the first step toward learning to manage chronic stress effectively.</w:t>
      </w:r>
    </w:p>
    <w:p>
      <w:pPr>
        <w:spacing w:after="200"/>
        <w:jc w:val="both"/>
      </w:pPr>
      <w:r>
        <w:rPr>
          <w:rFonts w:ascii="Calibri" w:cs="Calibri" w:eastAsia="Calibri" w:hAnsi="Calibri"/>
          <w:sz w:val="22"/>
          <w:szCs w:val="22"/>
        </w:rPr>
        <w:t xml:space="preserve">Central to stress management is the ability to identify emotional triggers — the specific situations, thoughts, or interactions that provoke a stress response. A trigger may be a looming deadline, a difficult conversation, or even a particular environment. The accumulation of small daily stressors is often as damaging as a single major event, since gradual accumulation erodes a person's capacity to cope before they realise how overwhelmed they have become.</w:t>
      </w:r>
    </w:p>
    <w:p>
      <w:pPr>
        <w:spacing w:after="200"/>
        <w:jc w:val="both"/>
      </w:pPr>
      <w:r>
        <w:rPr>
          <w:rFonts w:ascii="Calibri" w:cs="Calibri" w:eastAsia="Calibri" w:hAnsi="Calibri"/>
          <w:sz w:val="22"/>
          <w:szCs w:val="22"/>
        </w:rPr>
        <w:t xml:space="preserve">Developing effective coping strategies is essential for long-term mental health. To implement coping strategies successfully, individuals must first distinguish between adaptive and maladaptive responses. Exercise, mindfulness, and social connection are adaptive; alcohol use and avoidance are maladaptive compulsions that provide short-term relief while worsening underlying problems. The manifestation of stress — whether physical, emotional, or behavioural — often signals which type of coping response is being used.</w:t>
      </w:r>
    </w:p>
    <w:p>
      <w:pPr>
        <w:spacing w:after="200"/>
        <w:jc w:val="both"/>
      </w:pPr>
      <w:r>
        <w:rPr>
          <w:rFonts w:ascii="Calibri" w:cs="Calibri" w:eastAsia="Calibri" w:hAnsi="Calibri"/>
          <w:sz w:val="22"/>
          <w:szCs w:val="22"/>
        </w:rPr>
        <w:t xml:space="preserve">Without timely intervention, prolonged stress leads to deterioration of both physical and mental health. To prevent psychological deterioration, organisations and healthcare providers are increasingly focused on early intervention — identifying those at risk before a crisis occurs. Seeking early intervention reduces the likelihood of severe burnout, anxiety disorders, or physical illness. Ultimately, a society that normalises help-seeking and invests in stress education will suffer far less from the consequences of unmanaged compulsions and unchecked deterioration.</w:t>
      </w:r>
    </w:p>
    <w:p>
      <w:r>
        <w:br w:type="page"/>
      </w:r>
    </w:p>
    <w:p>
      <w:pPr>
        <w:spacing w:after="80"/>
      </w:pPr>
      <w:r>
        <w:rPr>
          <w:rFonts w:ascii="Calibri" w:cs="Calibri" w:eastAsia="Calibri" w:hAnsi="Calibri"/>
          <w:b/>
          <w:bCs/>
          <w:color w:val="6B7280"/>
          <w:sz w:val="20"/>
          <w:szCs w:val="20"/>
        </w:rPr>
        <w:t xml:space="preserve">B3-T13</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13. Healthcare Systems &amp; Access</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The provision of healthcare is one of the most contested areas of public policy. Whether a government should provide universal healthcare access — ensuring every citizen receives treatment regardless of income — or leave health services to market forces is a question that divides economists, politicians, and citizens alike. Advocates of universality argue that access to medical care is a fundamental right, not a commodity to be bought and sold.</w:t>
      </w:r>
    </w:p>
    <w:p>
      <w:pPr>
        <w:spacing w:after="200"/>
        <w:jc w:val="both"/>
      </w:pPr>
      <w:r>
        <w:rPr>
          <w:rFonts w:ascii="Calibri" w:cs="Calibri" w:eastAsia="Calibri" w:hAnsi="Calibri"/>
          <w:sz w:val="22"/>
          <w:szCs w:val="22"/>
        </w:rPr>
        <w:t xml:space="preserve">A central concern is the disparity in health outcomes between wealthy and low-income populations. Studies consistently show that morbidity rates — the prevalence of illness and disease — are significantly higher in deprived communities. Similarly, mortality figures reveal that preventable deaths disproportionately affect the poor. To reduce preventable mortality, governments must allocate scarce medical resources equitably, directing funds towards the populations most in need rather than those most able to pay.</w:t>
      </w:r>
    </w:p>
    <w:p>
      <w:pPr>
        <w:spacing w:after="200"/>
        <w:jc w:val="both"/>
      </w:pPr>
      <w:r>
        <w:rPr>
          <w:rFonts w:ascii="Calibri" w:cs="Calibri" w:eastAsia="Calibri" w:hAnsi="Calibri"/>
          <w:sz w:val="22"/>
          <w:szCs w:val="22"/>
        </w:rPr>
        <w:t xml:space="preserve">Emergency departments rely heavily on triage — the process of prioritising patients by urgency — to manage overwhelming demand. However, when systems are underfunded, triage alone cannot compensate for structural failures. Critics who challenge healthcare privatisation warn that profit-driven models incentivise providers to treat profitable conditions over urgent but less lucrative ones, deepening existing inequalities rather than resolving them.</w:t>
      </w:r>
    </w:p>
    <w:p>
      <w:pPr>
        <w:spacing w:after="200"/>
        <w:jc w:val="both"/>
      </w:pPr>
      <w:r>
        <w:rPr>
          <w:rFonts w:ascii="Calibri" w:cs="Calibri" w:eastAsia="Calibri" w:hAnsi="Calibri"/>
          <w:sz w:val="22"/>
          <w:szCs w:val="22"/>
        </w:rPr>
        <w:t xml:space="preserve">Ultimately, the goal of any healthcare system should be to address health inequalities through both better allocation of resources and sustained investment in preventive care. The universal principle — that no person should suffer or die due to lack of financial means — remains the ethical benchmark against which all systems must be judged. Without equitable provision, healthcare risks becoming a privilege rather than a right.</w:t>
      </w:r>
    </w:p>
    <w:p>
      <w:r>
        <w:br w:type="page"/>
      </w:r>
    </w:p>
    <w:p>
      <w:pPr>
        <w:spacing w:after="80"/>
      </w:pPr>
      <w:r>
        <w:rPr>
          <w:rFonts w:ascii="Calibri" w:cs="Calibri" w:eastAsia="Calibri" w:hAnsi="Calibri"/>
          <w:b/>
          <w:bCs/>
          <w:color w:val="6B7280"/>
          <w:sz w:val="20"/>
          <w:szCs w:val="20"/>
        </w:rPr>
        <w:t xml:space="preserve">B3-T14</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14. Happiness &amp; Wellbeing Research</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What makes a good life? Philosophers have debated this for millennia, but modern science now attempts to measure subjective wellbeing with rigorous empirical tools. Researchers distinguish two broad frameworks: the hedonic approach, which focuses on maximising pleasure and minimising pain, and the eudaimonic approach, which emphasises purpose, growth, and fulfilment derived from living in accordance with one's values. Neither framework alone captures the full complexity of human flourishing.</w:t>
      </w:r>
    </w:p>
    <w:p>
      <w:pPr>
        <w:spacing w:after="200"/>
        <w:jc w:val="both"/>
      </w:pPr>
      <w:r>
        <w:rPr>
          <w:rFonts w:ascii="Calibri" w:cs="Calibri" w:eastAsia="Calibri" w:hAnsi="Calibri"/>
          <w:sz w:val="22"/>
          <w:szCs w:val="22"/>
        </w:rPr>
        <w:t xml:space="preserve">A key challenge is that happiness is subjective — what generates contentment in one person may leave another indifferent. Yet research consistently shows a strong correlation between happiness and social connection, suggesting that relationships are a more reliable predictor of wellbeing than income. To correlate happiness with social connection, scientists use large-scale longitudinal surveys that track thousands of individuals across decades, controlling for disposition and life circumstances.</w:t>
      </w:r>
    </w:p>
    <w:p>
      <w:pPr>
        <w:spacing w:after="200"/>
        <w:jc w:val="both"/>
      </w:pPr>
      <w:r>
        <w:rPr>
          <w:rFonts w:ascii="Calibri" w:cs="Calibri" w:eastAsia="Calibri" w:hAnsi="Calibri"/>
          <w:sz w:val="22"/>
          <w:szCs w:val="22"/>
        </w:rPr>
        <w:t xml:space="preserve">One influential concept is hedonic adaptation — the tendency of people to return to a baseline level of happiness following both positive and negative life events. Those who wish to challenge hedonic adaptation argue that gratitude practices, mindfulness, and deliberate attention to novel experiences can interrupt this process. By cultivating a more appreciative perception of daily life, individuals may sustain higher levels of contentment over time.</w:t>
      </w:r>
    </w:p>
    <w:p>
      <w:pPr>
        <w:spacing w:after="200"/>
        <w:jc w:val="both"/>
      </w:pPr>
      <w:r>
        <w:rPr>
          <w:rFonts w:ascii="Calibri" w:cs="Calibri" w:eastAsia="Calibri" w:hAnsi="Calibri"/>
          <w:sz w:val="22"/>
          <w:szCs w:val="22"/>
        </w:rPr>
        <w:t xml:space="preserve">Ultimately, researchers who pursue meaningful fulfilment — and help others do the same — emphasise that wellbeing is less about external circumstances and more about internal orientation. Fostering a positive disposition through community engagement, purposeful work, and authentic relationships appears to be the most robust path to lasting happiness. How one interprets life events, rather than the events themselves, shapes the quality of one's inner life.</w:t>
      </w:r>
    </w:p>
    <w:p>
      <w:r>
        <w:br w:type="page"/>
      </w:r>
    </w:p>
    <w:p>
      <w:pPr>
        <w:spacing w:after="80"/>
      </w:pPr>
      <w:r>
        <w:rPr>
          <w:rFonts w:ascii="Calibri" w:cs="Calibri" w:eastAsia="Calibri" w:hAnsi="Calibri"/>
          <w:b/>
          <w:bCs/>
          <w:color w:val="6B7280"/>
          <w:sz w:val="20"/>
          <w:szCs w:val="20"/>
        </w:rPr>
        <w:t xml:space="preserve">B3-T15</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15. The Science of Habit &amp; Behaviour</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The human brain is, above all, a pattern-seeking machine. Once a behaviour is repeated enough, it graduates from conscious choice to automaticity — the effortless execution of an action without deliberate thought. At the heart of this process lies a neurological loop: a cue triggers a routine, which delivers a reward. The strength of the reward system is what locks habits into place, making certain behaviours feel almost compulsory over time.</w:t>
      </w:r>
    </w:p>
    <w:p>
      <w:pPr>
        <w:spacing w:after="200"/>
        <w:jc w:val="both"/>
      </w:pPr>
      <w:r>
        <w:rPr>
          <w:rFonts w:ascii="Calibri" w:cs="Calibri" w:eastAsia="Calibri" w:hAnsi="Calibri"/>
          <w:sz w:val="22"/>
          <w:szCs w:val="22"/>
        </w:rPr>
        <w:t xml:space="preserve">Breaking free from unwanted patterns is rarely straightforward. Conditioning — the process by which environmental stimuli become associated with specific responses — means that even after a period of abstinence, a single familiar trigger can provoke an urge powerful enough to cause relapse. This is why experts stress the importance of restructuring one's environment rather than relying solely on willpower, which research consistently shows to be a limited and depletable resource.</w:t>
      </w:r>
    </w:p>
    <w:p>
      <w:pPr>
        <w:spacing w:after="200"/>
        <w:jc w:val="both"/>
      </w:pPr>
      <w:r>
        <w:rPr>
          <w:rFonts w:ascii="Calibri" w:cs="Calibri" w:eastAsia="Calibri" w:hAnsi="Calibri"/>
          <w:sz w:val="22"/>
          <w:szCs w:val="22"/>
        </w:rPr>
        <w:t xml:space="preserve">Neuroscience has shown that the brain remains plastic well into adulthood, meaning rewiring of established neural pathways is genuinely possible. To break destructive habits, practitioners recommend identifying the specific cue that initiates the unwanted loop and substituting a healthier routine in its place. The goal is not to eliminate the trigger but to redirect it. Programmes that exploit positive reinforcement — celebrating small wins rather than punishing failure — have demonstrated significantly higher success rates in clinical settings.</w:t>
      </w:r>
    </w:p>
    <w:p>
      <w:pPr>
        <w:spacing w:after="200"/>
        <w:jc w:val="both"/>
      </w:pPr>
      <w:r>
        <w:rPr>
          <w:rFonts w:ascii="Calibri" w:cs="Calibri" w:eastAsia="Calibri" w:hAnsi="Calibri"/>
          <w:sz w:val="22"/>
          <w:szCs w:val="22"/>
        </w:rPr>
        <w:t xml:space="preserve">Ultimately, the most resilient approach is to harness the power of routine by designing an environment that makes desirable behaviours the path of least resistance. Strategies that rewire behavioural patterns — such as habit stacking or implementation intentions — work precisely because they acknowledge the brain's preference for automation. Similarly, efforts to build lasting willpower are most effective when framed not as a battle against temptation, but as a gradual shift in identity: becoming, through repeated action, the person one wishes to be.</w:t>
      </w:r>
    </w:p>
    <w:p>
      <w:r>
        <w:br w:type="page"/>
      </w:r>
    </w:p>
    <w:p>
      <w:pPr>
        <w:spacing w:after="80"/>
      </w:pPr>
      <w:r>
        <w:rPr>
          <w:rFonts w:ascii="Calibri" w:cs="Calibri" w:eastAsia="Calibri" w:hAnsi="Calibri"/>
          <w:b/>
          <w:bCs/>
          <w:color w:val="6B7280"/>
          <w:sz w:val="20"/>
          <w:szCs w:val="20"/>
        </w:rPr>
        <w:t xml:space="preserve">B3-T16</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16. Food, Diet &amp; Society</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Food is far more than fuel. The choices people make at the table reflect economic realities, cultural identities, and deeply held values. In recent decades, however, the global food system has undergone radical transformation. The rise of ultra-processed foods — engineered for palatability rather than nutrition — has contributed to epidemic levels of obesity and malnutrition coexisting within the same communities, sometimes within the same household.</w:t>
      </w:r>
    </w:p>
    <w:p>
      <w:pPr>
        <w:spacing w:after="200"/>
        <w:jc w:val="both"/>
      </w:pPr>
      <w:r>
        <w:rPr>
          <w:rFonts w:ascii="Calibri" w:cs="Calibri" w:eastAsia="Calibri" w:hAnsi="Calibri"/>
          <w:sz w:val="22"/>
          <w:szCs w:val="22"/>
        </w:rPr>
        <w:t xml:space="preserve">Micronutrient deficiency remains a silent public health crisis, particularly in low-income populations where affordable food is rarely organic or nutrient-dense. Meanwhile, wealthier consumers increasingly demand sustainable food systems — from farm to fork — raising urgent questions about whether ethical eating is a privilege of the affluent. These tensions expose the limits of personal responsibility as a framework: structural inequalities, not individual choices, often determine what ends up on the plate.</w:t>
      </w:r>
    </w:p>
    <w:p>
      <w:pPr>
        <w:spacing w:after="200"/>
        <w:jc w:val="both"/>
      </w:pPr>
      <w:r>
        <w:rPr>
          <w:rFonts w:ascii="Calibri" w:cs="Calibri" w:eastAsia="Calibri" w:hAnsi="Calibri"/>
          <w:sz w:val="22"/>
          <w:szCs w:val="22"/>
        </w:rPr>
        <w:t xml:space="preserve">At the psychological level, diet culture has generated its own pathologies. The relentless pursuit of an idealised body, amplified by social media, has fuelled rising rates of disordered eating — a spectrum of harmful relationships with food that extend well beyond clinically diagnosed conditions. Efforts to challenge diet culture must therefore address not just individual cognition but the commercial forces that profit from body dissatisfaction, making it essential to regulate food advertising, especially content targeting young audiences.</w:t>
      </w:r>
    </w:p>
    <w:p>
      <w:pPr>
        <w:spacing w:after="200"/>
        <w:jc w:val="both"/>
      </w:pPr>
      <w:r>
        <w:rPr>
          <w:rFonts w:ascii="Calibri" w:cs="Calibri" w:eastAsia="Calibri" w:hAnsi="Calibri"/>
          <w:sz w:val="22"/>
          <w:szCs w:val="22"/>
        </w:rPr>
        <w:t xml:space="preserve">Systemic responses are therefore essential. Policies that address nutritional deficiencies — such as school meal programmes and micronutrient fortification — have proven effective across diverse contexts. The more ambitious goal of working to ensure food security for all requires a coordinated approach to production, distribution, and regulation, tackling supply chains that currently prioritise profit over population health. Food, ultimately, is a political as much as a nutritional question.</w:t>
      </w:r>
    </w:p>
    <w:p>
      <w:r>
        <w:br w:type="page"/>
      </w:r>
    </w:p>
    <w:p>
      <w:pPr>
        <w:spacing w:after="80"/>
      </w:pPr>
      <w:r>
        <w:rPr>
          <w:rFonts w:ascii="Calibri" w:cs="Calibri" w:eastAsia="Calibri" w:hAnsi="Calibri"/>
          <w:b/>
          <w:bCs/>
          <w:color w:val="6B7280"/>
          <w:sz w:val="20"/>
          <w:szCs w:val="20"/>
        </w:rPr>
        <w:t xml:space="preserve">B3-T17</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17. Medical Science &amp; Innovation</w:t>
      </w:r>
    </w:p>
    <w:p>
      <w:pPr>
        <w:spacing w:after="240"/>
      </w:pPr>
      <w:r>
        <w:rPr>
          <w:rFonts w:ascii="Calibri" w:cs="Calibri" w:eastAsia="Calibri" w:hAnsi="Calibri"/>
          <w:i/>
          <w:iCs/>
          <w:color w:val="9CA3AF"/>
          <w:sz w:val="18"/>
          <w:szCs w:val="18"/>
        </w:rPr>
        <w:t xml:space="preserve">223 words</w:t>
      </w:r>
    </w:p>
    <w:p>
      <w:pPr>
        <w:spacing w:after="200"/>
        <w:jc w:val="both"/>
      </w:pPr>
      <w:r>
        <w:rPr>
          <w:rFonts w:ascii="Calibri" w:cs="Calibri" w:eastAsia="Calibri" w:hAnsi="Calibri"/>
          <w:sz w:val="22"/>
          <w:szCs w:val="22"/>
        </w:rPr>
        <w:t xml:space="preserve">Modern medicine has been transformed by a series of landmark breakthroughs, none more consequential than the development of the vaccine. By training the immune system to recognise pathogens before exposure, vaccines have eradicated or controlled diseases that once devastated populations worldwide. Equally significant is the emergence of gene therapy, which offers the possibility of correcting inherited disorders at their molecular source rather than merely managing symptoms.</w:t>
      </w:r>
    </w:p>
    <w:p>
      <w:pPr>
        <w:spacing w:after="200"/>
        <w:jc w:val="both"/>
      </w:pPr>
      <w:r>
        <w:rPr>
          <w:rFonts w:ascii="Calibri" w:cs="Calibri" w:eastAsia="Calibri" w:hAnsi="Calibri"/>
          <w:sz w:val="22"/>
          <w:szCs w:val="22"/>
        </w:rPr>
        <w:t xml:space="preserve">Before any treatment reaches patients, it must first conduct clinical trials to establish both safety and efficacy. These trials are governed by strict ethical protocols, and a precise diagnosis must underpin every phase of testing. Regulatory bodies regulate pharmaceutical companies to ensure that only rigorously validated treatments receive approval, a process that, while time-consuming, protects public health.</w:t>
      </w:r>
    </w:p>
    <w:p>
      <w:pPr>
        <w:spacing w:after="200"/>
        <w:jc w:val="both"/>
      </w:pPr>
      <w:r>
        <w:rPr>
          <w:rFonts w:ascii="Calibri" w:cs="Calibri" w:eastAsia="Calibri" w:hAnsi="Calibri"/>
          <w:sz w:val="22"/>
          <w:szCs w:val="22"/>
        </w:rPr>
        <w:t xml:space="preserve">Organ and tissue transplant surgery represents another frontier of innovation. The availability of a willing donor is critical, and advances in anti-rejection pharmaceutical therapies have greatly improved long-term outcomes. Alongside these advances, campaigns to roll out immunisation programmes at scale have proved essential in low-income settings, where infectious disease burden remains highest.</w:t>
      </w:r>
    </w:p>
    <w:p>
      <w:pPr>
        <w:spacing w:after="200"/>
        <w:jc w:val="both"/>
      </w:pPr>
      <w:r>
        <w:rPr>
          <w:rFonts w:ascii="Calibri" w:cs="Calibri" w:eastAsia="Calibri" w:hAnsi="Calibri"/>
          <w:sz w:val="22"/>
          <w:szCs w:val="22"/>
        </w:rPr>
        <w:t xml:space="preserve">No medical advance is without trade-offs: every new therapy carries the risk of side effects, and researchers must continuously work to improve diagnostic accuracy so that interventions are precisely targeted. As immunisation coverage expands globally and precision medicine matures, the hope is that science will shift from treating illness reactively to preventing it altogether — redefining what it means to be healthy in the twenty-first century.</w:t>
      </w:r>
    </w:p>
    <w:p>
      <w:r>
        <w:br w:type="page"/>
      </w:r>
    </w:p>
    <w:p>
      <w:pPr>
        <w:spacing w:after="80"/>
      </w:pPr>
      <w:r>
        <w:rPr>
          <w:rFonts w:ascii="Calibri" w:cs="Calibri" w:eastAsia="Calibri" w:hAnsi="Calibri"/>
          <w:b/>
          <w:bCs/>
          <w:color w:val="6B7280"/>
          <w:sz w:val="20"/>
          <w:szCs w:val="20"/>
        </w:rPr>
        <w:t xml:space="preserve">B3-T18</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18. Space Exploration &amp; Science</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Humanity's desire to explore the cosmos has driven some of the most extraordinary scientific achievements in history. When a spacecraft enters orbit around a distant planet, it transmits data that allows scientists to map surfaces, measure atmosphere, and search for signs of life. The discovery of thousands of exoplanet candidates beyond our solar system has fundamentally altered our understanding of how common planetary systems may be across the universe.</w:t>
      </w:r>
    </w:p>
    <w:p>
      <w:pPr>
        <w:spacing w:after="200"/>
        <w:jc w:val="both"/>
      </w:pPr>
      <w:r>
        <w:rPr>
          <w:rFonts w:ascii="Calibri" w:cs="Calibri" w:eastAsia="Calibri" w:hAnsi="Calibri"/>
          <w:sz w:val="22"/>
          <w:szCs w:val="22"/>
        </w:rPr>
        <w:t xml:space="preserve">Sending humans beyond Earth presents formidable engineering challenges. The propulsion systems required to launch interstellar missions must generate thrust on an unprecedented scale, while the precise trajectory of any spacecraft must account for gravitational forces from multiple celestial bodies simultaneously. Even a small miscalculation in trajectory can result in mission failure millions of kilometres from any possibility of rescue.</w:t>
      </w:r>
    </w:p>
    <w:p>
      <w:pPr>
        <w:spacing w:after="200"/>
        <w:jc w:val="both"/>
      </w:pPr>
      <w:r>
        <w:rPr>
          <w:rFonts w:ascii="Calibri" w:cs="Calibri" w:eastAsia="Calibri" w:hAnsi="Calibri"/>
          <w:sz w:val="22"/>
          <w:szCs w:val="22"/>
        </w:rPr>
        <w:t xml:space="preserve">The field of astrophysics has been revolutionised by instruments capable of detecting gravitational waves — ripples in spacetime produced by colliding black holes or neutron stars. These detections, confirmed only since 2015, have opened an entirely new observational window onto the universe and continue to advance astrophysical understanding in ways that once seemed purely theoretical. The magnitude of such discoveries is difficult to overstate.</w:t>
      </w:r>
    </w:p>
    <w:p>
      <w:pPr>
        <w:spacing w:after="200"/>
        <w:jc w:val="both"/>
      </w:pPr>
      <w:r>
        <w:rPr>
          <w:rFonts w:ascii="Calibri" w:cs="Calibri" w:eastAsia="Calibri" w:hAnsi="Calibri"/>
          <w:sz w:val="22"/>
          <w:szCs w:val="22"/>
        </w:rPr>
        <w:t xml:space="preserve">Yet the ultimate challenge remains learning to sustain human life in space over long durations. Radiation exposure, muscle atrophy, and psychological isolation all pose serious risks to extraterrestrial crews. As space agencies and private enterprises race to explore the boundaries of the universe, the need to solve these biological problems becomes as pressing as any purely technical obstacle — reminding us that the human body, not just the rocket, is the limiting factor.</w:t>
      </w:r>
    </w:p>
    <w:p>
      <w:r>
        <w:br w:type="page"/>
      </w:r>
    </w:p>
    <w:p>
      <w:pPr>
        <w:spacing w:after="80"/>
      </w:pPr>
      <w:r>
        <w:rPr>
          <w:rFonts w:ascii="Calibri" w:cs="Calibri" w:eastAsia="Calibri" w:hAnsi="Calibri"/>
          <w:b/>
          <w:bCs/>
          <w:color w:val="6B7280"/>
          <w:sz w:val="20"/>
          <w:szCs w:val="20"/>
        </w:rPr>
        <w:t xml:space="preserve">B3-T19</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19. The Ageing Population</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Across the developed world, rising longevity is reshaping the demographic landscape at an unprecedented pace. While longer lives represent a triumph of medicine and public health, they also intensify pressure on welfare systems designed for a younger population. Governments are increasingly compelled to address the ageing population crisis before fiscal strains become irreversible, recognising that delayed reform carries far greater long-term costs than proactive intervention.</w:t>
      </w:r>
    </w:p>
    <w:p>
      <w:pPr>
        <w:spacing w:after="200"/>
        <w:jc w:val="both"/>
      </w:pPr>
      <w:r>
        <w:rPr>
          <w:rFonts w:ascii="Calibri" w:cs="Calibri" w:eastAsia="Calibri" w:hAnsi="Calibri"/>
          <w:sz w:val="22"/>
          <w:szCs w:val="22"/>
        </w:rPr>
        <w:t xml:space="preserve">A central concern is the dependency ratio — the proportion of retired individuals supported by each working-age adult. As this ratio widens, the need to reform pension systems becomes urgent. Many nations face the challenge of sustaining retirement benefits without overburdening younger workers. Concurrently, the prevalence of dementia among the elderly imposes enormous costs on healthcare infrastructure and family carers alike, straining systems already stretched thin.</w:t>
      </w:r>
    </w:p>
    <w:p>
      <w:pPr>
        <w:spacing w:after="200"/>
        <w:jc w:val="both"/>
      </w:pPr>
      <w:r>
        <w:rPr>
          <w:rFonts w:ascii="Calibri" w:cs="Calibri" w:eastAsia="Calibri" w:hAnsi="Calibri"/>
          <w:sz w:val="22"/>
          <w:szCs w:val="22"/>
        </w:rPr>
        <w:t xml:space="preserve">Social isolation represents another critical dimension of an ageing society. Many older adults, particularly those who have lost partners or who live far from family, experience profound loneliness that accelerates cognitive and physical deterioration. Policymakers and community organisations must combat elderly isolation through targeted programmes — volunteer visits, digital literacy initiatives, and local social hubs — that restore meaningful human connection to vulnerable groups.</w:t>
      </w:r>
    </w:p>
    <w:p>
      <w:pPr>
        <w:spacing w:after="200"/>
        <w:jc w:val="both"/>
      </w:pPr>
      <w:r>
        <w:rPr>
          <w:rFonts w:ascii="Calibri" w:cs="Calibri" w:eastAsia="Calibri" w:hAnsi="Calibri"/>
          <w:sz w:val="22"/>
          <w:szCs w:val="22"/>
        </w:rPr>
        <w:t xml:space="preserve">Ultimately, sustainable responses demand more than institutional fixes. Older adults' contribution to communities — through volunteering, caregiving, and the transmission of knowledge — must be formally recognised to sustain intergenerational solidarity between age groups. For those nearing the end of life, the ability to provide palliative care with dignity and compassion remains a moral imperative. Societies that honour their elders reflect the intergenerational compact at the heart of civilised life.</w:t>
      </w:r>
    </w:p>
    <w:p>
      <w:r>
        <w:br w:type="page"/>
      </w:r>
    </w:p>
    <w:p>
      <w:pPr>
        <w:spacing w:after="80"/>
      </w:pPr>
      <w:r>
        <w:rPr>
          <w:rFonts w:ascii="Calibri" w:cs="Calibri" w:eastAsia="Calibri" w:hAnsi="Calibri"/>
          <w:b/>
          <w:bCs/>
          <w:color w:val="6B7280"/>
          <w:sz w:val="20"/>
          <w:szCs w:val="20"/>
        </w:rPr>
        <w:t xml:space="preserve">B3-T20</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20. Environmental Health &amp; Climate</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The relationship between environmental health and human wellbeing has never been clearer. Industrial growth and mass consumption have dramatically increased humanity's carbon footprint, pushing atmospheric emission levels to concentrations not seen for millions of years. Scientists warn that unless societies act decisively to reduce carbon emissions, the cascading consequences for air quality, water supply, and food security will affect billions of lives within this century.</w:t>
      </w:r>
    </w:p>
    <w:p>
      <w:pPr>
        <w:spacing w:after="200"/>
        <w:jc w:val="both"/>
      </w:pPr>
      <w:r>
        <w:rPr>
          <w:rFonts w:ascii="Calibri" w:cs="Calibri" w:eastAsia="Calibri" w:hAnsi="Calibri"/>
          <w:sz w:val="22"/>
          <w:szCs w:val="22"/>
        </w:rPr>
        <w:t xml:space="preserve">Among the most alarming signs of planetary stress is the accelerating loss of biodiversity. Intact ecosystem networks provide services — from pollination to flood regulation — that no human technology can fully replicate. Deforestation, driven by agricultural expansion and logging, fragments habitats and silences entire species before scientists have even catalogued them. Campaigners and conservationists alike argue that to protect biodiversity is ultimately to protect the ecological foundations of human health itself.</w:t>
      </w:r>
    </w:p>
    <w:p>
      <w:pPr>
        <w:spacing w:after="200"/>
        <w:jc w:val="both"/>
      </w:pPr>
      <w:r>
        <w:rPr>
          <w:rFonts w:ascii="Calibri" w:cs="Calibri" w:eastAsia="Calibri" w:hAnsi="Calibri"/>
          <w:sz w:val="22"/>
          <w:szCs w:val="22"/>
        </w:rPr>
        <w:t xml:space="preserve">Climate scientists increasingly warn of tipping point thresholds — points of no return beyond which self-reinforcing feedback loops make warming unstoppable. To reach a climate tipping point would render many current mitigation strategies obsolete, demanding instead radical adaptation responses. Policymakers must therefore implement mitigation strategies urgently, while simultaneously building resilience frameworks to manage the changes already locked into the system.</w:t>
      </w:r>
    </w:p>
    <w:p>
      <w:pPr>
        <w:spacing w:after="200"/>
        <w:jc w:val="both"/>
      </w:pPr>
      <w:r>
        <w:rPr>
          <w:rFonts w:ascii="Calibri" w:cs="Calibri" w:eastAsia="Calibri" w:hAnsi="Calibri"/>
          <w:sz w:val="22"/>
          <w:szCs w:val="22"/>
        </w:rPr>
        <w:t xml:space="preserve">Longer-term solutions rest on embedding sustainability into the core of economic and social planning. This requires a shift in values — from exploitation to custodianship, from short-term gain to intergenerational responsibility. When businesses, governments, and communities agree to promote environmental stewardship, they commit not merely to preserving nature but to recognising humanity's fundamental obligation to the living systems that make all life possible.</w:t>
      </w:r>
    </w:p>
    <w:p>
      <w:r>
        <w:br w:type="page"/>
      </w:r>
    </w:p>
    <w:p>
      <w:pPr>
        <w:spacing w:after="80"/>
      </w:pPr>
      <w:r>
        <w:rPr>
          <w:rFonts w:ascii="Calibri" w:cs="Calibri" w:eastAsia="Calibri" w:hAnsi="Calibri"/>
          <w:b/>
          <w:bCs/>
          <w:color w:val="6B7280"/>
          <w:sz w:val="20"/>
          <w:szCs w:val="20"/>
        </w:rPr>
        <w:t xml:space="preserve">B3-T21</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21. Technology &amp; Everyday Life</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Technological disruption has fundamentally reshaped daily life over the past two decades. The rapid adoption of smartphones, cloud services, and connected devices has created a profound convergence of work, leisure, and communication within a single interface. What was once confined to the office or library is now accessible from any location, dramatically improving efficiency but simultaneously raising questions about the boundaries between public and private life.</w:t>
      </w:r>
    </w:p>
    <w:p>
      <w:pPr>
        <w:spacing w:after="200"/>
        <w:jc w:val="both"/>
      </w:pPr>
      <w:r>
        <w:rPr>
          <w:rFonts w:ascii="Calibri" w:cs="Calibri" w:eastAsia="Calibri" w:hAnsi="Calibri"/>
          <w:sz w:val="22"/>
          <w:szCs w:val="22"/>
        </w:rPr>
        <w:t xml:space="preserve">Yet the benefits of these advances are not equally distributed. The digital divide — the gap between those with reliable access to technology and those without — remains a persistent inequality. Policymakers and NGOs alike work to bridge the digital divide, recognising that automation is rapidly displacing low-skilled roles, disproportionately affecting communities that already lack digital literacy and infrastructure.</w:t>
      </w:r>
    </w:p>
    <w:p>
      <w:pPr>
        <w:spacing w:after="200"/>
        <w:jc w:val="both"/>
      </w:pPr>
      <w:r>
        <w:rPr>
          <w:rFonts w:ascii="Calibri" w:cs="Calibri" w:eastAsia="Calibri" w:hAnsi="Calibri"/>
          <w:sz w:val="22"/>
          <w:szCs w:val="22"/>
        </w:rPr>
        <w:t xml:space="preserve">A further concern is the growing dependency on digital platforms. As societies create technological dependency at scale — from navigation apps to online banking — the capacity to function without connectivity steadily erodes. This vulnerability is compounded by increasing threats to privacy, as platforms that disrupt traditional industries also harvest vast quantities of personal data, often without meaningful user consent or scrutiny.</w:t>
      </w:r>
    </w:p>
    <w:p>
      <w:pPr>
        <w:spacing w:after="200"/>
        <w:jc w:val="both"/>
      </w:pPr>
      <w:r>
        <w:rPr>
          <w:rFonts w:ascii="Calibri" w:cs="Calibri" w:eastAsia="Calibri" w:hAnsi="Calibri"/>
          <w:sz w:val="22"/>
          <w:szCs w:val="22"/>
        </w:rPr>
        <w:t xml:space="preserve">Addressing these challenges requires deliberate policy choices. Governments must accelerate technology adoption in underserved regions while simultaneously legislating to raise privacy concerns to the level of enforceable rights. The goal is not to slow technological progress but to ensure it serves human flourishing — embedding digital tools into everyday life in ways that are equitable, transparent, and genuinely empowering.</w:t>
      </w:r>
    </w:p>
    <w:p>
      <w:r>
        <w:br w:type="page"/>
      </w:r>
    </w:p>
    <w:p>
      <w:pPr>
        <w:spacing w:after="80"/>
      </w:pPr>
      <w:r>
        <w:rPr>
          <w:rFonts w:ascii="Calibri" w:cs="Calibri" w:eastAsia="Calibri" w:hAnsi="Calibri"/>
          <w:b/>
          <w:bCs/>
          <w:color w:val="6B7280"/>
          <w:sz w:val="20"/>
          <w:szCs w:val="20"/>
        </w:rPr>
        <w:t xml:space="preserve">B3-T22</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22. Artificial Intelligence &amp; Society</w:t>
      </w:r>
    </w:p>
    <w:p>
      <w:pPr>
        <w:spacing w:after="240"/>
      </w:pPr>
      <w:r>
        <w:rPr>
          <w:rFonts w:ascii="Calibri" w:cs="Calibri" w:eastAsia="Calibri" w:hAnsi="Calibri"/>
          <w:i/>
          <w:iCs/>
          <w:color w:val="9CA3AF"/>
          <w:sz w:val="18"/>
          <w:szCs w:val="18"/>
        </w:rPr>
        <w:t xml:space="preserve">225 words</w:t>
      </w:r>
    </w:p>
    <w:p>
      <w:pPr>
        <w:spacing w:after="200"/>
        <w:jc w:val="both"/>
      </w:pPr>
      <w:r>
        <w:rPr>
          <w:rFonts w:ascii="Calibri" w:cs="Calibri" w:eastAsia="Calibri" w:hAnsi="Calibri"/>
          <w:sz w:val="22"/>
          <w:szCs w:val="22"/>
        </w:rPr>
        <w:t xml:space="preserve">Artificial intelligence is no longer a distant prospect — it is embedded in the systems that recommend what we watch, decide who receives a loan, and determine which job applicants advance to interview. At the heart of every such decision lies an algorithm: a set of computational rules that process data to produce an output. While these systems can enhance efficiency, their opacity makes accountability difficult to establish when outcomes are unfair or harmful.</w:t>
      </w:r>
    </w:p>
    <w:p>
      <w:pPr>
        <w:spacing w:after="200"/>
        <w:jc w:val="both"/>
      </w:pPr>
      <w:r>
        <w:rPr>
          <w:rFonts w:ascii="Calibri" w:cs="Calibri" w:eastAsia="Calibri" w:hAnsi="Calibri"/>
          <w:sz w:val="22"/>
          <w:szCs w:val="22"/>
        </w:rPr>
        <w:t xml:space="preserve">One of the gravest concerns is bias. When training data reflects historical inequalities, AI systems embed algorithmic bias into their predictions — disproportionately flagging certain ethnic groups as high-risk, or undervaluing female candidates in hiring tools. This problem is compounded by limited explainability: the ability to articulate why a model reached a particular conclusion. Without it, those harmed by autonomous decision-making systems have little recourse.</w:t>
      </w:r>
    </w:p>
    <w:p>
      <w:pPr>
        <w:spacing w:after="200"/>
        <w:jc w:val="both"/>
      </w:pPr>
      <w:r>
        <w:rPr>
          <w:rFonts w:ascii="Calibri" w:cs="Calibri" w:eastAsia="Calibri" w:hAnsi="Calibri"/>
          <w:sz w:val="22"/>
          <w:szCs w:val="22"/>
        </w:rPr>
        <w:t xml:space="preserve">The scale of AI deployment has also intensified debates about surveillance. Governments and corporations increasingly develop autonomous systems capable of monitoring populations at scale, tracking movements, communications, and behavioural patterns. Critics warn that without meaningful oversight, such tools erode civil liberties and concentrate power dangerously. Meanwhile, the philosophical question of sentience — whether advanced AI might one day develop genuine consciousness — remains unresolved but grows more urgent.</w:t>
      </w:r>
    </w:p>
    <w:p>
      <w:pPr>
        <w:spacing w:after="200"/>
        <w:jc w:val="both"/>
      </w:pPr>
      <w:r>
        <w:rPr>
          <w:rFonts w:ascii="Calibri" w:cs="Calibri" w:eastAsia="Calibri" w:hAnsi="Calibri"/>
          <w:sz w:val="22"/>
          <w:szCs w:val="22"/>
        </w:rPr>
        <w:t xml:space="preserve">To navigate these risks, legislators must introduce regulatory frameworks that compel transparency and hold AI developers accountable for the consequences of their systems. Effective regulation need not stifle innovation; rather, it should raise ethical concerns about AI to the status of binding obligations. A future in which AI serves the public good requires both technical rigour and a firm commitment to democratic values.</w:t>
      </w:r>
    </w:p>
    <w:p>
      <w:r>
        <w:br w:type="page"/>
      </w:r>
    </w:p>
    <w:p>
      <w:pPr>
        <w:spacing w:after="80"/>
      </w:pPr>
      <w:r>
        <w:rPr>
          <w:rFonts w:ascii="Calibri" w:cs="Calibri" w:eastAsia="Calibri" w:hAnsi="Calibri"/>
          <w:b/>
          <w:bCs/>
          <w:color w:val="6B7280"/>
          <w:sz w:val="20"/>
          <w:szCs w:val="20"/>
        </w:rPr>
        <w:t xml:space="preserve">B3-T23</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23. Media, Journalism &amp; Trust</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In an era of proliferating information channels, the trustworthiness of news sources has become a critical concern for democratic societies. Journalists and media outlets operate within a landscape where disinformation — deliberately fabricated or misleading content — spreads far more rapidly than carefully verified reporting. The unchecked amplification of false narratives by social media algorithms has made it increasingly difficult for citizens to distinguish credible editorial judgement from partisan manipulation.</w:t>
      </w:r>
    </w:p>
    <w:p>
      <w:pPr>
        <w:spacing w:after="200"/>
        <w:jc w:val="both"/>
      </w:pPr>
      <w:r>
        <w:rPr>
          <w:rFonts w:ascii="Calibri" w:cs="Calibri" w:eastAsia="Calibri" w:hAnsi="Calibri"/>
          <w:sz w:val="22"/>
          <w:szCs w:val="22"/>
        </w:rPr>
        <w:t xml:space="preserve">A particularly damaging phenomenon is agenda setting, through which powerful media organisations determine which issues receive public attention and which remain invisible. When combined with ideological bias, this practice can lead to significant distortion of public understanding. Moreover, authoritarian governments frequently resort to censorship to silence dissenting voices, further eroding the public's capacity for independent thought.</w:t>
      </w:r>
    </w:p>
    <w:p>
      <w:pPr>
        <w:spacing w:after="200"/>
        <w:jc w:val="both"/>
      </w:pPr>
      <w:r>
        <w:rPr>
          <w:rFonts w:ascii="Calibri" w:cs="Calibri" w:eastAsia="Calibri" w:hAnsi="Calibri"/>
          <w:sz w:val="22"/>
          <w:szCs w:val="22"/>
        </w:rPr>
        <w:t xml:space="preserve">The rise of digital platforms has also accelerated polarisation within public discourse. Recommendation engines push users into echo chambers where they are repeatedly exposed to views that confirm their existing beliefs, reducing exposure to alternative perspectives. Such environments are fertile ground for propaganda, which exploits emotional language and selective facts to shape public narrative in ways that serve narrow political interests.</w:t>
      </w:r>
    </w:p>
    <w:p>
      <w:pPr>
        <w:spacing w:after="200"/>
        <w:jc w:val="both"/>
      </w:pPr>
      <w:r>
        <w:rPr>
          <w:rFonts w:ascii="Calibri" w:cs="Calibri" w:eastAsia="Calibri" w:hAnsi="Calibri"/>
          <w:sz w:val="22"/>
          <w:szCs w:val="22"/>
        </w:rPr>
        <w:t xml:space="preserve">To combat information manipulation, media literacy education has emerged as an essential tool. Teaching citizens to identify misleading framing, cross-check sources, and question the motives behind breaking news can help undermine media credibility of bad-faith actors while restoring trust in rigorous journalism. Ultimately, a healthy media ecosystem depends on both institutional accountability and an informed, critical audience.</w:t>
      </w:r>
    </w:p>
    <w:p>
      <w:r>
        <w:br w:type="page"/>
      </w:r>
    </w:p>
    <w:p>
      <w:pPr>
        <w:spacing w:after="80"/>
      </w:pPr>
      <w:r>
        <w:rPr>
          <w:rFonts w:ascii="Calibri" w:cs="Calibri" w:eastAsia="Calibri" w:hAnsi="Calibri"/>
          <w:b/>
          <w:bCs/>
          <w:color w:val="6B7280"/>
          <w:sz w:val="20"/>
          <w:szCs w:val="20"/>
        </w:rPr>
        <w:t xml:space="preserve">B3-T24</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24. Globalisation &amp; Cultural Identity</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Globalisation has dramatically accelerated the interconnectedness of economies, peoples, and cultures, but this process has not been without controversy. Critics warn of cultural homogenisation — a gradual erosion of local traditions as dominant commercial cultures, particularly from the West, spread their values and aesthetics globally. The commodification of indigenous art, music, and ritual has become a flashpoint in debates about who benefits from global cultural exchange and who loses.</w:t>
      </w:r>
    </w:p>
    <w:p>
      <w:pPr>
        <w:spacing w:after="200"/>
        <w:jc w:val="both"/>
      </w:pPr>
      <w:r>
        <w:rPr>
          <w:rFonts w:ascii="Calibri" w:cs="Calibri" w:eastAsia="Calibri" w:hAnsi="Calibri"/>
          <w:sz w:val="22"/>
          <w:szCs w:val="22"/>
        </w:rPr>
        <w:t xml:space="preserve">For many communities, the challenge is acculturation — adapting to a new or dominant culture while preserving elements of one's own heritage. Members of the diaspora, living far from their ancestral homelands, often navigate competing cultural loyalties as they balance the expectations of their heritage community with the demands of localisation in their adopted country. This balancing act can produce rich hybrid identities that draw on multiple cultural traditions simultaneously.</w:t>
      </w:r>
    </w:p>
    <w:p>
      <w:pPr>
        <w:spacing w:after="200"/>
        <w:jc w:val="both"/>
      </w:pPr>
      <w:r>
        <w:rPr>
          <w:rFonts w:ascii="Calibri" w:cs="Calibri" w:eastAsia="Calibri" w:hAnsi="Calibri"/>
          <w:sz w:val="22"/>
          <w:szCs w:val="22"/>
        </w:rPr>
        <w:t xml:space="preserve">A recurring concern in globalisation debates is cultural imperialism — the argument that powerful nations impose their values, languages, and consumer products on less powerful societies, undermining local autonomy. Some communities actively resist cultural homogenisation by reviving endangered languages, protecting traditional crafts, or establishing policies that limit foreign media absorption into national broadcasting.</w:t>
      </w:r>
    </w:p>
    <w:p>
      <w:pPr>
        <w:spacing w:after="200"/>
        <w:jc w:val="both"/>
      </w:pPr>
      <w:r>
        <w:rPr>
          <w:rFonts w:ascii="Calibri" w:cs="Calibri" w:eastAsia="Calibri" w:hAnsi="Calibri"/>
          <w:sz w:val="22"/>
          <w:szCs w:val="22"/>
        </w:rPr>
        <w:t xml:space="preserve">Yet globalisation also offers genuine opportunities. A truly cosmopolitan outlook embraces cultural diversity as a source of enrichment rather than threat. When communities challenge cultural imperialism constructively — not by closing borders but by asserting the value of their own traditions — they contribute to a more balanced global cultural landscape. The goal is not cultural isolation but equitable exchange, where no single tradition is allowed to dominate at the expense of others.</w:t>
      </w:r>
    </w:p>
    <w:p>
      <w:r>
        <w:br w:type="page"/>
      </w:r>
    </w:p>
    <w:p>
      <w:pPr>
        <w:spacing w:after="80"/>
      </w:pPr>
      <w:r>
        <w:rPr>
          <w:rFonts w:ascii="Calibri" w:cs="Calibri" w:eastAsia="Calibri" w:hAnsi="Calibri"/>
          <w:b/>
          <w:bCs/>
          <w:color w:val="6B7280"/>
          <w:sz w:val="20"/>
          <w:szCs w:val="20"/>
        </w:rPr>
        <w:t xml:space="preserve">B3-T25</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25. Crime, Law &amp; Justice</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The judiciary sits at the heart of any democratic society, tasked with interpreting the law and delivering justice impartially. Central to this role is the doctrine of precedent, whereby earlier court rulings bind future decisions on similar cases. This principle promotes consistency and predictability, yet it also raises difficult questions: when a statute enacted decades ago produces manifestly unjust outcomes today, should judges follow the letter of the law or depart from it in the interest of equity?</w:t>
      </w:r>
    </w:p>
    <w:p>
      <w:pPr>
        <w:spacing w:after="200"/>
        <w:jc w:val="both"/>
      </w:pPr>
      <w:r>
        <w:rPr>
          <w:rFonts w:ascii="Calibri" w:cs="Calibri" w:eastAsia="Calibri" w:hAnsi="Calibri"/>
          <w:sz w:val="22"/>
          <w:szCs w:val="22"/>
        </w:rPr>
        <w:t xml:space="preserve">Criminal law rests on a fundamental distinction between being merely involved in wrongdoing and being genuinely culpable — that is, morally and legally blameworthy. Prosecution must establish culpability beyond reasonable doubt before a verdict of guilty can be returned. This high evidentiary threshold reflects a core commitment: it is better to acquit the guilty than to convict the innocent. Yet securing a conviction serves multiple social functions, including deterrence, which aims to discourage future offending through the threat of punishment.</w:t>
      </w:r>
    </w:p>
    <w:p>
      <w:pPr>
        <w:spacing w:after="200"/>
        <w:jc w:val="both"/>
      </w:pPr>
      <w:r>
        <w:rPr>
          <w:rFonts w:ascii="Calibri" w:cs="Calibri" w:eastAsia="Calibri" w:hAnsi="Calibri"/>
          <w:sz w:val="22"/>
          <w:szCs w:val="22"/>
        </w:rPr>
        <w:t xml:space="preserve">Beyond punishment, modern justice systems increasingly pursue rehabilitation — equipping offenders with the skills and support needed to reintegrate into society. Evidence suggests that punitive approaches alone do little to curb recidivism: the persistent return to criminal behaviour after release. In response, practitioners of restorative justice argue that bringing offenders, victims, and communities together to address harm collaboratively yields better long-term outcomes than custodial sentences alone.</w:t>
      </w:r>
    </w:p>
    <w:p>
      <w:pPr>
        <w:spacing w:after="200"/>
        <w:jc w:val="both"/>
      </w:pPr>
      <w:r>
        <w:rPr>
          <w:rFonts w:ascii="Calibri" w:cs="Calibri" w:eastAsia="Calibri" w:hAnsi="Calibri"/>
          <w:sz w:val="22"/>
          <w:szCs w:val="22"/>
        </w:rPr>
        <w:t xml:space="preserve">The debate between retribution and reform lies at the centre of contemporary criminal justice policy. Advocates of reform urge courts to apply restorative justice more widely and to challenge punitive sentencing that disproportionately harms marginalised communities. Critics, however, insist that courts must uphold the rule of law and assign moral culpability clearly if public trust in legal institutions is to be maintained. The challenge is to reduce recidivism rates while ensuring that justice remains both fair and firm.</w:t>
      </w:r>
    </w:p>
    <w:p>
      <w:r>
        <w:br w:type="page"/>
      </w:r>
    </w:p>
    <w:p>
      <w:pPr>
        <w:spacing w:after="80"/>
      </w:pPr>
      <w:r>
        <w:rPr>
          <w:rFonts w:ascii="Calibri" w:cs="Calibri" w:eastAsia="Calibri" w:hAnsi="Calibri"/>
          <w:b/>
          <w:bCs/>
          <w:color w:val="6B7280"/>
          <w:sz w:val="20"/>
          <w:szCs w:val="20"/>
        </w:rPr>
        <w:t xml:space="preserve">B3-T26</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26. Democracy &amp; Civic Life</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Healthy democracies depend not only on elections but on the vitality of civil society — the network of voluntary organisations, advocacy groups, and community institutions that mediate between citizens and the state. When people engage in civic life, they exercise a form of power that complements the formal electoral process: the power of collective voice. Yet this civic fabric is under strain. Across established and emerging democracies alike, fragmentation along political, cultural, and economic lines is making it harder to build the shared consensus that governance requires.</w:t>
      </w:r>
    </w:p>
    <w:p>
      <w:pPr>
        <w:spacing w:after="200"/>
        <w:jc w:val="both"/>
      </w:pPr>
      <w:r>
        <w:rPr>
          <w:rFonts w:ascii="Calibri" w:cs="Calibri" w:eastAsia="Calibri" w:hAnsi="Calibri"/>
          <w:sz w:val="22"/>
          <w:szCs w:val="22"/>
        </w:rPr>
        <w:t xml:space="preserve">Governments derive their mandate to govern from the consent of the people, expressed primarily through elections. Yet accountability — the obligation to justify decisions and accept consequences for failures — is equally vital. Effective accountability mechanisms include independent judiciaries, free media, and parliamentary scrutiny. Without these, elected officials risk wielding power without restraint, and citizens have little recourse when legislation is passed that serves narrow interests rather than the common good.</w:t>
      </w:r>
    </w:p>
    <w:p>
      <w:pPr>
        <w:spacing w:after="200"/>
        <w:jc w:val="both"/>
      </w:pPr>
      <w:r>
        <w:rPr>
          <w:rFonts w:ascii="Calibri" w:cs="Calibri" w:eastAsia="Calibri" w:hAnsi="Calibri"/>
          <w:sz w:val="22"/>
          <w:szCs w:val="22"/>
        </w:rPr>
        <w:t xml:space="preserve">Two forces are actively eroding the foundations of democratic culture. The first is lobbying — the organised effort by well-funded interest groups to shape policy in their favour — which, when unregulated, gives disproportionate influence to wealth over votes. The second is misinformation: the deliberate spread of false narratives that distort electoral outcomes and fuel populism. Demagogues who combat electoral disinformation in rhetoric while deploying it in practice represent a particular threat to democratic norms.</w:t>
      </w:r>
    </w:p>
    <w:p>
      <w:pPr>
        <w:spacing w:after="200"/>
        <w:jc w:val="both"/>
      </w:pPr>
      <w:r>
        <w:rPr>
          <w:rFonts w:ascii="Calibri" w:cs="Calibri" w:eastAsia="Calibri" w:hAnsi="Calibri"/>
          <w:sz w:val="22"/>
          <w:szCs w:val="22"/>
        </w:rPr>
        <w:t xml:space="preserve">Revitalising democracy requires more than periodic referendums or voter registration drives. Citizens must challenge political polarisation that turns policy disagreements into cultural warfare, and institutions must safeguard democratic values against both internal erosion and external interference. Above all, ordinary people must hold government accountable through sustained civic participation — not only at the ballot box, but in local councils, public forums, and the daily choices that shape the communities they inhabit.</w:t>
      </w:r>
    </w:p>
    <w:p>
      <w:r>
        <w:br w:type="page"/>
      </w:r>
    </w:p>
    <w:p>
      <w:pPr>
        <w:spacing w:after="80"/>
      </w:pPr>
      <w:r>
        <w:rPr>
          <w:rFonts w:ascii="Calibri" w:cs="Calibri" w:eastAsia="Calibri" w:hAnsi="Calibri"/>
          <w:b/>
          <w:bCs/>
          <w:color w:val="6B7280"/>
          <w:sz w:val="20"/>
          <w:szCs w:val="20"/>
        </w:rPr>
        <w:t xml:space="preserve">B3-T27</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27. Poverty &amp; Social Welfare</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Poverty is rarely the result of individual failure alone. In most societies, deep inequality is sustained by systemic barriers — structural forces embedded in education, housing, and labour markets that prevent people from accessing the resources they need. These forces produce stratification: a layered social order in which certain groups face persistent deprivation of basic needs while others accumulate wealth across generations.</w:t>
      </w:r>
    </w:p>
    <w:p>
      <w:pPr>
        <w:spacing w:after="200"/>
        <w:jc w:val="both"/>
      </w:pPr>
      <w:r>
        <w:rPr>
          <w:rFonts w:ascii="Calibri" w:cs="Calibri" w:eastAsia="Calibri" w:hAnsi="Calibri"/>
          <w:sz w:val="22"/>
          <w:szCs w:val="22"/>
        </w:rPr>
        <w:t xml:space="preserve">A central concern for policymakers is how to tackle systemic inequality without merely treating its symptoms. Programmes that redistribute economic resources — through progressive taxation or targeted welfare payments — are widely debated. Critics argue that generous entitlement schemes can create dependency, while proponents insist they are essential to empower marginalised communities that have long been excluded from economic participation.</w:t>
      </w:r>
    </w:p>
    <w:p>
      <w:pPr>
        <w:spacing w:after="200"/>
        <w:jc w:val="both"/>
      </w:pPr>
      <w:r>
        <w:rPr>
          <w:rFonts w:ascii="Calibri" w:cs="Calibri" w:eastAsia="Calibri" w:hAnsi="Calibri"/>
          <w:sz w:val="22"/>
          <w:szCs w:val="22"/>
        </w:rPr>
        <w:t xml:space="preserve">One of the most persistent challenges is marginalisation: the process by which certain populations are pushed to the edges of society. Communities affected by marginalisation often find themselves caught in a cycle of poverty — where poor health, inadequate schooling, and unemployment reinforce one another. Welfare systems that fail to address the root causes of exclusion can inadvertently disenfranchise the very people they aim to help.</w:t>
      </w:r>
    </w:p>
    <w:p>
      <w:pPr>
        <w:spacing w:after="200"/>
        <w:jc w:val="both"/>
      </w:pPr>
      <w:r>
        <w:rPr>
          <w:rFonts w:ascii="Calibri" w:cs="Calibri" w:eastAsia="Calibri" w:hAnsi="Calibri"/>
          <w:sz w:val="22"/>
          <w:szCs w:val="22"/>
        </w:rPr>
        <w:t xml:space="preserve">Sustainable progress requires both public policy and private initiative. Philanthropy from wealthy individuals and corporations can supplement state provision, but it cannot substitute for structural reform. To break the cycle of poverty, governments must challenge structural privilege — dismantling the inherited advantages that allow some to prosper regardless of merit, while others remain locked out of opportunity.</w:t>
      </w:r>
    </w:p>
    <w:p>
      <w:r>
        <w:br w:type="page"/>
      </w:r>
    </w:p>
    <w:p>
      <w:pPr>
        <w:spacing w:after="80"/>
      </w:pPr>
      <w:r>
        <w:rPr>
          <w:rFonts w:ascii="Calibri" w:cs="Calibri" w:eastAsia="Calibri" w:hAnsi="Calibri"/>
          <w:b/>
          <w:bCs/>
          <w:color w:val="6B7280"/>
          <w:sz w:val="20"/>
          <w:szCs w:val="20"/>
        </w:rPr>
        <w:t xml:space="preserve">B3-T28</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28. Understanding the Economy</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Managing a national economy requires balancing competing forces. When inflation rises too sharply, the purchasing power of citizens erodes, making everyday goods and services less affordable. Central banks respond by tightening monetary policy — raising interest rates to slow borrowing and spending. The challenge is doing so without tipping the economy into recession, a period of contraction that raises unemployment and reduces output.</w:t>
      </w:r>
    </w:p>
    <w:p>
      <w:pPr>
        <w:spacing w:after="200"/>
        <w:jc w:val="both"/>
      </w:pPr>
      <w:r>
        <w:rPr>
          <w:rFonts w:ascii="Calibri" w:cs="Calibri" w:eastAsia="Calibri" w:hAnsi="Calibri"/>
          <w:sz w:val="22"/>
          <w:szCs w:val="22"/>
        </w:rPr>
        <w:t xml:space="preserve">Governments also use fiscal tools — taxation and public spending — to steer the economy. When they spend more than they collect in taxes, they run a budget deficit, borrowing to cover the gap. Critics argue that large deficits burden future generations, while supporters contend that strategic borrowing can stimulate economic growth during downturns. A subsidy directed at struggling industries or households is another fiscal instrument, though it must be financed somehow.</w:t>
      </w:r>
    </w:p>
    <w:p>
      <w:pPr>
        <w:spacing w:after="200"/>
        <w:jc w:val="both"/>
      </w:pPr>
      <w:r>
        <w:rPr>
          <w:rFonts w:ascii="Calibri" w:cs="Calibri" w:eastAsia="Calibri" w:hAnsi="Calibri"/>
          <w:sz w:val="22"/>
          <w:szCs w:val="22"/>
        </w:rPr>
        <w:t xml:space="preserve">In times of crisis, governments sometimes impose austerity — cutting public services and welfare to reduce deficits. The social cost can be severe, particularly for lower-income groups who rely on state support. Deregulation of markets is another contested policy: proponents argue it encourages competition and innovation; critics warn it can destabilise financial systems. The price of a commodity like oil or grain, often set by global supply and demand, can further complicate domestic policymaking.</w:t>
      </w:r>
    </w:p>
    <w:p>
      <w:pPr>
        <w:spacing w:after="200"/>
        <w:jc w:val="both"/>
      </w:pPr>
      <w:r>
        <w:rPr>
          <w:rFonts w:ascii="Calibri" w:cs="Calibri" w:eastAsia="Calibri" w:hAnsi="Calibri"/>
          <w:sz w:val="22"/>
          <w:szCs w:val="22"/>
        </w:rPr>
        <w:t xml:space="preserve">Economists speak of market equilibrium as the point where supply meets demand at a stable price. In practice, economies are rarely in perfect balance — external shocks, speculation, and policy errors all cause fluctuations. Policymakers must control inflationary pressure without stifling growth, while simultaneously deciding whether to implement austerity measures or invest in recovery. Balancing these competing priorities and learning to liberalise financial markets responsibly remains one of the defining challenges of modern governance.</w:t>
      </w:r>
    </w:p>
    <w:p>
      <w:r>
        <w:br w:type="page"/>
      </w:r>
    </w:p>
    <w:p>
      <w:pPr>
        <w:spacing w:after="80"/>
      </w:pPr>
      <w:r>
        <w:rPr>
          <w:rFonts w:ascii="Calibri" w:cs="Calibri" w:eastAsia="Calibri" w:hAnsi="Calibri"/>
          <w:b/>
          <w:bCs/>
          <w:color w:val="6B7280"/>
          <w:sz w:val="20"/>
          <w:szCs w:val="20"/>
        </w:rPr>
        <w:t xml:space="preserve">B3-T29</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29. Migration &amp; Belonging</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Across the world, millions of people flee persecution and conflict each year, seeking asylum in countries that may offer safety but rarely offer belonging. The journey toward integration — the process by which newcomers participate fully in the social, economic, and civic life of a host society — is rarely swift. Many who arrive must first navigate legal systems that determine whether they will be granted protection or face deportation back to the dangers they escaped.</w:t>
      </w:r>
    </w:p>
    <w:p>
      <w:pPr>
        <w:spacing w:after="200"/>
        <w:jc w:val="both"/>
      </w:pPr>
      <w:r>
        <w:rPr>
          <w:rFonts w:ascii="Calibri" w:cs="Calibri" w:eastAsia="Calibri" w:hAnsi="Calibri"/>
          <w:sz w:val="22"/>
          <w:szCs w:val="22"/>
        </w:rPr>
        <w:t xml:space="preserve">For those who become stateless — stripped of citizenship by conflict, political upheaval, or discriminatory law — the search for sanctuary is particularly acute. Without legal identity, they are denied access to education, healthcare, and employment. Meanwhile, the remittance flows sent home by those who do find work abroad represent a lifeline for families left behind, often sustaining entire communities through periods of crisis.</w:t>
      </w:r>
    </w:p>
    <w:p>
      <w:pPr>
        <w:spacing w:after="200"/>
        <w:jc w:val="both"/>
      </w:pPr>
      <w:r>
        <w:rPr>
          <w:rFonts w:ascii="Calibri" w:cs="Calibri" w:eastAsia="Calibri" w:hAnsi="Calibri"/>
          <w:sz w:val="22"/>
          <w:szCs w:val="22"/>
        </w:rPr>
        <w:t xml:space="preserve">Xenophobia — a deep-seated fear or hostility toward foreigners — remains one of the most persistent barriers to successful settlement. When host communities resist newcomers, the result can be profound social displacement: migrants become physically present but socially invisible. Efforts to combat xenophobia through education and community dialogue are therefore as vital as any legal reform. True assimilation, if it is to be pursued, must be voluntary rather than coerced.</w:t>
      </w:r>
    </w:p>
    <w:p>
      <w:pPr>
        <w:spacing w:after="200"/>
        <w:jc w:val="both"/>
      </w:pPr>
      <w:r>
        <w:rPr>
          <w:rFonts w:ascii="Calibri" w:cs="Calibri" w:eastAsia="Calibri" w:hAnsi="Calibri"/>
          <w:sz w:val="22"/>
          <w:szCs w:val="22"/>
        </w:rPr>
        <w:t xml:space="preserve">The debate over migration ultimately centres on a question of values. Societies that choose to grant refugee status generously and foster social integration tend to benefit from the resilience and skills that migrants bring. At the same time, migrants themselves face the profound tension between assimilation and the desire to preserve cultural identity abroad — to rebuild a life in a new land without surrendering the customs, language, and memory that define who they are.</w:t>
      </w:r>
    </w:p>
    <w:p>
      <w:r>
        <w:br w:type="page"/>
      </w:r>
    </w:p>
    <w:p>
      <w:pPr>
        <w:spacing w:after="80"/>
      </w:pPr>
      <w:r>
        <w:rPr>
          <w:rFonts w:ascii="Calibri" w:cs="Calibri" w:eastAsia="Calibri" w:hAnsi="Calibri"/>
          <w:b/>
          <w:bCs/>
          <w:color w:val="6B7280"/>
          <w:sz w:val="20"/>
          <w:szCs w:val="20"/>
        </w:rPr>
        <w:t xml:space="preserve">B3-T30</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30. Leadership &amp; Influence</w:t>
      </w:r>
    </w:p>
    <w:p>
      <w:pPr>
        <w:spacing w:after="240"/>
      </w:pPr>
      <w:r>
        <w:rPr>
          <w:rFonts w:ascii="Calibri" w:cs="Calibri" w:eastAsia="Calibri" w:hAnsi="Calibri"/>
          <w:i/>
          <w:iCs/>
          <w:color w:val="9CA3AF"/>
          <w:sz w:val="18"/>
          <w:szCs w:val="18"/>
        </w:rPr>
        <w:t xml:space="preserve">220 words</w:t>
      </w:r>
    </w:p>
    <w:p>
      <w:pPr>
        <w:spacing w:after="200"/>
        <w:jc w:val="both"/>
      </w:pPr>
      <w:r>
        <w:rPr>
          <w:rFonts w:ascii="Calibri" w:cs="Calibri" w:eastAsia="Calibri" w:hAnsi="Calibri"/>
          <w:sz w:val="22"/>
          <w:szCs w:val="22"/>
        </w:rPr>
        <w:t xml:space="preserve">What distinguishes enduring leaders from those who merely hold authority is rarely power alone. Lasting leadership rests on a combination of vision — the capacity to articulate a compelling picture of what could be — and probity, the unwavering commitment to ethical conduct that earns and sustains public trust. Leaders who exercise moral leadership do not simply pursue results; they shape the values of the institutions and societies they serve.</w:t>
      </w:r>
    </w:p>
    <w:p>
      <w:pPr>
        <w:spacing w:after="200"/>
        <w:jc w:val="both"/>
      </w:pPr>
      <w:r>
        <w:rPr>
          <w:rFonts w:ascii="Calibri" w:cs="Calibri" w:eastAsia="Calibri" w:hAnsi="Calibri"/>
          <w:sz w:val="22"/>
          <w:szCs w:val="22"/>
        </w:rPr>
        <w:t xml:space="preserve">Charisma — the magnetic personal quality that draws others willingly into a leader's orbit — can amplify a leader's capacity to inspire collective action, mobilising large groups around a shared goal. Yet charisma without accountability is dangerous. A culture of answerability, in which leaders are expected to hold leaders accountable to clear standards and explain their decisions, is essential to preventing the abuse of influence.</w:t>
      </w:r>
    </w:p>
    <w:p>
      <w:pPr>
        <w:spacing w:after="200"/>
        <w:jc w:val="both"/>
      </w:pPr>
      <w:r>
        <w:rPr>
          <w:rFonts w:ascii="Calibri" w:cs="Calibri" w:eastAsia="Calibri" w:hAnsi="Calibri"/>
          <w:sz w:val="22"/>
          <w:szCs w:val="22"/>
        </w:rPr>
        <w:t xml:space="preserve">True empowerment — giving individuals the agency, resources, and confidence to lead within their own spheres — multiplies a leader's impact far beyond what any single person could achieve alone. Great leaders cultivate other leaders. Their inspiration creates ripple effects: followers who feel trusted and capable become sources of mobilisation themselves, driving change across teams, communities, and organisations.</w:t>
      </w:r>
    </w:p>
    <w:p>
      <w:pPr>
        <w:spacing w:after="200"/>
        <w:jc w:val="both"/>
      </w:pPr>
      <w:r>
        <w:rPr>
          <w:rFonts w:ascii="Calibri" w:cs="Calibri" w:eastAsia="Calibri" w:hAnsi="Calibri"/>
          <w:sz w:val="22"/>
          <w:szCs w:val="22"/>
        </w:rPr>
        <w:t xml:space="preserve">The question of governance — how institutions make decisions, distribute power, and serve their constituents — is inseparable from leadership quality. Leaders who build trust through integrity and who consider carefully what legacy they wish to leave tend to make decisions with a longer time horizon, resisting short-term pressures in favour of outcomes that endure. It is this long view that most reliably distinguishes leadership from mere management.</w:t>
      </w:r>
    </w:p>
    <w:p>
      <w:r>
        <w:br w:type="page"/>
      </w:r>
    </w:p>
    <w:p>
      <w:pPr>
        <w:spacing w:after="80"/>
      </w:pPr>
      <w:r>
        <w:rPr>
          <w:rFonts w:ascii="Calibri" w:cs="Calibri" w:eastAsia="Calibri" w:hAnsi="Calibri"/>
          <w:b/>
          <w:bCs/>
          <w:color w:val="6B7280"/>
          <w:sz w:val="20"/>
          <w:szCs w:val="20"/>
        </w:rPr>
        <w:t xml:space="preserve">B3-T31</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31. Philosophy &amp; Critical Thinking</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Philosophy has always occupied itself with the most fundamental questions of human existence. At its core lies epistemology — the branch of philosophy concerned with the nature, scope, and limits of knowledge. Thinkers who pursue this discipline must constantly challenge a fundamental assumption: that what we perceive through our senses or reason alone constitutes reliable truth. The tension between rationalism and empiricism has shaped Western philosophy for centuries, with rationalists holding that reason is the primary source of knowledge and empiricists insisting that experience is indispensable.</w:t>
      </w:r>
    </w:p>
    <w:p>
      <w:pPr>
        <w:spacing w:after="200"/>
        <w:jc w:val="both"/>
      </w:pPr>
      <w:r>
        <w:rPr>
          <w:rFonts w:ascii="Calibri" w:cs="Calibri" w:eastAsia="Calibri" w:hAnsi="Calibri"/>
          <w:sz w:val="22"/>
          <w:szCs w:val="22"/>
        </w:rPr>
        <w:t xml:space="preserve">Critical thinking demands that we engage in critical reasoning rather than accepting claims at face value. Central to this practice is understanding inference — the process of deriving conclusions from premises — and its more rigorous counterpart, deduction, whereby conclusions follow necessarily from given premises. The validity of an argument depends not on whether its premises are true, but on whether the conclusion follows logically from them. A skilled reasoner must also guard against fallacy: a flaw in reasoning that makes an argument logically unsound, regardless of how persuasive it may appear.</w:t>
      </w:r>
    </w:p>
    <w:p>
      <w:pPr>
        <w:spacing w:after="200"/>
        <w:jc w:val="both"/>
      </w:pPr>
      <w:r>
        <w:rPr>
          <w:rFonts w:ascii="Calibri" w:cs="Calibri" w:eastAsia="Calibri" w:hAnsi="Calibri"/>
          <w:sz w:val="22"/>
          <w:szCs w:val="22"/>
        </w:rPr>
        <w:t xml:space="preserve">Some of the most enduring challenges in philosophy take the form of a paradox — a statement or situation that appears contradictory yet may contain a profound truth. Paradoxes reveal the limits of ordinary logic and invite us to identify logical fallacies hidden within seemingly reasonable chains of thought. Meanwhile, the concept of subjectivity reminds us that individual experience, bias, and perspective inevitably colour the way we interpret evidence and construct a coherent argument.</w:t>
      </w:r>
    </w:p>
    <w:p>
      <w:pPr>
        <w:spacing w:after="200"/>
        <w:jc w:val="both"/>
      </w:pPr>
      <w:r>
        <w:rPr>
          <w:rFonts w:ascii="Calibri" w:cs="Calibri" w:eastAsia="Calibri" w:hAnsi="Calibri"/>
          <w:sz w:val="22"/>
          <w:szCs w:val="22"/>
        </w:rPr>
        <w:t xml:space="preserve">Ultimately, the goal of philosophical inquiry is not merely to win debates but to sharpen the mind and pursue truth with integrity. The ability to distinguish between fact and opinion is one of the most vital intellectual skills a person can develop. Whether we adopt the rationalist conviction that truth is discoverable through pure reason or the empiricist belief that knowledge must be grounded in observable evidence, the discipline of philosophy teaches us to question, to reason carefully, and to remain open to revision in the light of better arguments.</w:t>
      </w:r>
    </w:p>
    <w:p>
      <w:r>
        <w:br w:type="page"/>
      </w:r>
    </w:p>
    <w:p>
      <w:pPr>
        <w:spacing w:after="80"/>
      </w:pPr>
      <w:r>
        <w:rPr>
          <w:rFonts w:ascii="Calibri" w:cs="Calibri" w:eastAsia="Calibri" w:hAnsi="Calibri"/>
          <w:b/>
          <w:bCs/>
          <w:color w:val="6B7280"/>
          <w:sz w:val="20"/>
          <w:szCs w:val="20"/>
        </w:rPr>
        <w:t xml:space="preserve">B3-T32</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32. Science &amp; Discovery</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Science advances by proposing and testing ideas in a systematic way. At the heart of this process is the hypothesis — a tentative explanation that can be examined through observation and experiment. Researchers who conduct rigorous research do not simply collect data; they design studies with careful controls, define their variable clearly, and anticipate alternative explanations. The methodology a scientist chooses shapes not only what can be discovered but also how confidently conclusions can be drawn.</w:t>
      </w:r>
    </w:p>
    <w:p>
      <w:pPr>
        <w:spacing w:after="200"/>
        <w:jc w:val="both"/>
      </w:pPr>
      <w:r>
        <w:rPr>
          <w:rFonts w:ascii="Calibri" w:cs="Calibri" w:eastAsia="Calibri" w:hAnsi="Calibri"/>
          <w:sz w:val="22"/>
          <w:szCs w:val="22"/>
        </w:rPr>
        <w:t xml:space="preserve">A key principle underpinning science is scepticism — the refusal to accept claims without sufficient evidence. This is why scientists are expected to publish peer-reviewed findings so that independent experts can scrutinise the work for errors and biases. Replication — the ability of other researchers to repeat a study and obtain the same results — is considered the gold standard of scientific credibility. When studies fail to replicate, the broader community must challenge scientific consensus and re-examine the original evidence.</w:t>
      </w:r>
    </w:p>
    <w:p>
      <w:pPr>
        <w:spacing w:after="200"/>
        <w:jc w:val="both"/>
      </w:pPr>
      <w:r>
        <w:rPr>
          <w:rFonts w:ascii="Calibri" w:cs="Calibri" w:eastAsia="Calibri" w:hAnsi="Calibri"/>
          <w:sz w:val="22"/>
          <w:szCs w:val="22"/>
        </w:rPr>
        <w:t xml:space="preserve">Understanding the difference between correlation and causation is one of the most important — and most misunderstood — concepts in science. Two variables may rise and fall together, yet one need not cause the other. To draw causal conclusions, researchers must design experiments that identify confounding variables: hidden factors that might explain the observed relationship. Without this step, even empirical data — gathered through direct observation rather than theory alone — can be deeply misleading.</w:t>
      </w:r>
    </w:p>
    <w:p>
      <w:pPr>
        <w:spacing w:after="200"/>
        <w:jc w:val="both"/>
      </w:pPr>
      <w:r>
        <w:rPr>
          <w:rFonts w:ascii="Calibri" w:cs="Calibri" w:eastAsia="Calibri" w:hAnsi="Calibri"/>
          <w:sz w:val="22"/>
          <w:szCs w:val="22"/>
        </w:rPr>
        <w:t xml:space="preserve">Science also progresses through shifts in understanding that philosopher Thomas Kuhn called paradigm shifts — moments when the entire framework of a field is overturned by new evidence. Such shifts remind us that today's scientific consensus may be tomorrow's outdated model. This is not a weakness; it is the system working as intended. A healthy scientific culture embraces scepticism, rewards honest replication, and insists that even the most celebrated hypothesis must yield to the weight of empirical evidence.</w:t>
      </w:r>
    </w:p>
    <w:p>
      <w:r>
        <w:br w:type="page"/>
      </w:r>
    </w:p>
    <w:p>
      <w:pPr>
        <w:spacing w:after="80"/>
      </w:pPr>
      <w:r>
        <w:rPr>
          <w:rFonts w:ascii="Calibri" w:cs="Calibri" w:eastAsia="Calibri" w:hAnsi="Calibri"/>
          <w:b/>
          <w:bCs/>
          <w:color w:val="6B7280"/>
          <w:sz w:val="20"/>
          <w:szCs w:val="20"/>
        </w:rPr>
        <w:t xml:space="preserve">B3-T33</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33. History &amp; Memory</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The discipline of historiography examines not just what happened in the past, but how those events have been recorded, selected, and interpreted across time. Every historical narrative is shaped by the values and blind spots of its era, which is why no account of the past can claim perfect objectivity. Scholars who study historiography argue that acknowledging this limitation is the first step towards more honest and rigorous historical inquiry.</w:t>
      </w:r>
    </w:p>
    <w:p>
      <w:pPr>
        <w:spacing w:after="200"/>
        <w:jc w:val="both"/>
      </w:pPr>
      <w:r>
        <w:rPr>
          <w:rFonts w:ascii="Calibri" w:cs="Calibri" w:eastAsia="Calibri" w:hAnsi="Calibri"/>
          <w:sz w:val="22"/>
          <w:szCs w:val="22"/>
        </w:rPr>
        <w:t xml:space="preserve">Revisionism — the practice of reinterpreting established historical accounts — is often viewed with suspicion, yet it is a necessary feature of healthy scholarship. When new evidence emerges or archival sources are re-examined, historians must be willing to revise long-held conclusions. Bias, whether ideological, cultural, or national, inevitably colours the interpretation of evidence, making it essential to challenge historical narratives that present a single, uncontested view of the past.</w:t>
      </w:r>
    </w:p>
    <w:p>
      <w:pPr>
        <w:spacing w:after="200"/>
        <w:jc w:val="both"/>
      </w:pPr>
      <w:r>
        <w:rPr>
          <w:rFonts w:ascii="Calibri" w:cs="Calibri" w:eastAsia="Calibri" w:hAnsi="Calibri"/>
          <w:sz w:val="22"/>
          <w:szCs w:val="22"/>
        </w:rPr>
        <w:t xml:space="preserve">Commemoration — the public rituals through which societies mark significant events — plays a central role in shaping collective identity. Monuments, national holidays, and school curricula all serve to preserve collective memory, embedding particular versions of history into public consciousness. However, whose memory is preserved and whose is silenced raises profound ethical questions, particularly when communities must reinterpret historical events in light of previously excluded voices.</w:t>
      </w:r>
    </w:p>
    <w:p>
      <w:pPr>
        <w:spacing w:after="200"/>
        <w:jc w:val="both"/>
      </w:pPr>
      <w:r>
        <w:rPr>
          <w:rFonts w:ascii="Calibri" w:cs="Calibri" w:eastAsia="Calibri" w:hAnsi="Calibri"/>
          <w:sz w:val="22"/>
          <w:szCs w:val="22"/>
        </w:rPr>
        <w:t xml:space="preserve">Societies that have experienced conflict or injustice face the difficult task of constructing a shared chronicle of events — one that can acknowledge a contested legacy without erasing the pain of those who suffered. To reconcile conflicting accounts of the past, historians and communities alike must engage in sustained, sometimes uncomfortable dialogue. The legacy of historical events is never fixed; it is continually rewritten as new generations bring fresh questions and fresh eyes to the past.</w:t>
      </w:r>
    </w:p>
    <w:p>
      <w:r>
        <w:br w:type="page"/>
      </w:r>
    </w:p>
    <w:p>
      <w:pPr>
        <w:spacing w:after="80"/>
      </w:pPr>
      <w:r>
        <w:rPr>
          <w:rFonts w:ascii="Calibri" w:cs="Calibri" w:eastAsia="Calibri" w:hAnsi="Calibri"/>
          <w:b/>
          <w:bCs/>
          <w:color w:val="6B7280"/>
          <w:sz w:val="20"/>
          <w:szCs w:val="20"/>
        </w:rPr>
        <w:t xml:space="preserve">B3-T34</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34. Psychology &amp; Human Behaviour</w:t>
      </w:r>
    </w:p>
    <w:p>
      <w:pPr>
        <w:spacing w:after="240"/>
      </w:pPr>
      <w:r>
        <w:rPr>
          <w:rFonts w:ascii="Calibri" w:cs="Calibri" w:eastAsia="Calibri" w:hAnsi="Calibri"/>
          <w:i/>
          <w:iCs/>
          <w:color w:val="9CA3AF"/>
          <w:sz w:val="18"/>
          <w:szCs w:val="18"/>
        </w:rPr>
        <w:t xml:space="preserve">223 words</w:t>
      </w:r>
    </w:p>
    <w:p>
      <w:pPr>
        <w:spacing w:after="200"/>
        <w:jc w:val="both"/>
      </w:pPr>
      <w:r>
        <w:rPr>
          <w:rFonts w:ascii="Calibri" w:cs="Calibri" w:eastAsia="Calibri" w:hAnsi="Calibri"/>
          <w:sz w:val="22"/>
          <w:szCs w:val="22"/>
        </w:rPr>
        <w:t xml:space="preserve">Human behaviour is shaped by a complex interplay of conscious thought and unconscious processes. Modern psychology recognises that much of what drives our decisions operates below the threshold of awareness. Cognition — the mental processes of thinking, reasoning, and remembering — does not occur in a vacuum; it is continuously influenced by emotional states, past experiences, and social context. Understanding these mechanisms is central to the discipline and has profound implications for education, health, and public policy.</w:t>
      </w:r>
    </w:p>
    <w:p>
      <w:pPr>
        <w:spacing w:after="200"/>
        <w:jc w:val="both"/>
      </w:pPr>
      <w:r>
        <w:rPr>
          <w:rFonts w:ascii="Calibri" w:cs="Calibri" w:eastAsia="Calibri" w:hAnsi="Calibri"/>
          <w:sz w:val="22"/>
          <w:szCs w:val="22"/>
        </w:rPr>
        <w:t xml:space="preserve">One powerful framework for understanding behaviour is attribution theory, which explores how people explain the causes of events and actions. Errors in attribution — particularly the tendency to overestimate personality factors and underestimate situational ones — are common cognitive distortions. These distortions exist within broader mental frameworks called schemas: organised patterns of knowledge that filter and interpret incoming information. When schemas are overly rigid, they can challenge cognitive biases that prevent individuals from perceiving reality accurately.</w:t>
      </w:r>
    </w:p>
    <w:p>
      <w:pPr>
        <w:spacing w:after="200"/>
        <w:jc w:val="both"/>
      </w:pPr>
      <w:r>
        <w:rPr>
          <w:rFonts w:ascii="Calibri" w:cs="Calibri" w:eastAsia="Calibri" w:hAnsi="Calibri"/>
          <w:sz w:val="22"/>
          <w:szCs w:val="22"/>
        </w:rPr>
        <w:t xml:space="preserve">Motivation and reinforcement are equally critical to understanding why people persist or give up. Intrinsic motivation — driven by genuine interest — tends to be more durable than extrinsic rewards, which can undermine long-term engagement if withdrawn. Reinforcement, whether positive or negative, shapes human motivation by creating associations between actions and outcomes. Meanwhile, perception — how individuals interpret sensory and social information — profoundly affects the choices they make and the risks they are willing to take.</w:t>
      </w:r>
    </w:p>
    <w:p>
      <w:pPr>
        <w:spacing w:after="200"/>
        <w:jc w:val="both"/>
      </w:pPr>
      <w:r>
        <w:rPr>
          <w:rFonts w:ascii="Calibri" w:cs="Calibri" w:eastAsia="Calibri" w:hAnsi="Calibri"/>
          <w:sz w:val="22"/>
          <w:szCs w:val="22"/>
        </w:rPr>
        <w:t xml:space="preserve">Two concepts of growing importance in applied psychology are resilience and self-efficacy. Resilience — the capacity to recover from adversity — is not a fixed trait but a skill that can be cultivated. Similarly, self-efficacy, one's belief in one's ability to succeed in specific tasks, profoundly influences performance and persistence. Programmes designed to develop psychological resilience and reinforce positive behaviour have shown measurable benefits, while efforts to resist social conformity through critical thinking remain essential for fostering independent judgement.</w:t>
      </w:r>
    </w:p>
    <w:p>
      <w:r>
        <w:br w:type="page"/>
      </w:r>
    </w:p>
    <w:p>
      <w:pPr>
        <w:spacing w:after="80"/>
      </w:pPr>
      <w:r>
        <w:rPr>
          <w:rFonts w:ascii="Calibri" w:cs="Calibri" w:eastAsia="Calibri" w:hAnsi="Calibri"/>
          <w:b/>
          <w:bCs/>
          <w:color w:val="6B7280"/>
          <w:sz w:val="20"/>
          <w:szCs w:val="20"/>
        </w:rPr>
        <w:t xml:space="preserve">B3-T35</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35. Technology &amp; Innovation</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The history of technology is largely a history of disruption — the process by which new ideas displace established systems and render previous solutions obsolete. From the printing press to the smartphone, each wave of innovation has accelerated the diffusion of knowledge across societies, reshaping economies and daily life in ways that were rarely anticipated. What makes modern technological change distinctive is the speed at which obsolescence now arrives, compressing timelines that once spanned decades into just a few years.</w:t>
      </w:r>
    </w:p>
    <w:p>
      <w:pPr>
        <w:spacing w:after="200"/>
        <w:jc w:val="both"/>
      </w:pPr>
      <w:r>
        <w:rPr>
          <w:rFonts w:ascii="Calibri" w:cs="Calibri" w:eastAsia="Calibri" w:hAnsi="Calibri"/>
          <w:sz w:val="22"/>
          <w:szCs w:val="22"/>
        </w:rPr>
        <w:t xml:space="preserve">Central to the innovation process is the development of a prototype — an early working model that allows engineers and designers to test assumptions before committing resources to full production. Effective iteration, the practice of refining a product through repeated cycles of testing and feedback, is what separates successful ventures from those that collapse on first contact with real users. Startups that embrace rapid iteration can detect and correct design flaws long before they reach the market.</w:t>
      </w:r>
    </w:p>
    <w:p>
      <w:pPr>
        <w:spacing w:after="200"/>
        <w:jc w:val="both"/>
      </w:pPr>
      <w:r>
        <w:rPr>
          <w:rFonts w:ascii="Calibri" w:cs="Calibri" w:eastAsia="Calibri" w:hAnsi="Calibri"/>
          <w:sz w:val="22"/>
          <w:szCs w:val="22"/>
        </w:rPr>
        <w:t xml:space="preserve">Funding this process typically requires the ability to secure venture capital funding from investors willing to accept high risk in exchange for potential high returns. During the incubation phase — when ideas are nurtured and stress-tested in controlled environments — startups refine their models while protecting their inventions through patent law. Firms that fail to protect intellectual property early often find that competitors replicate their innovations before they have a chance to establish market presence.</w:t>
      </w:r>
    </w:p>
    <w:p>
      <w:pPr>
        <w:spacing w:after="200"/>
        <w:jc w:val="both"/>
      </w:pPr>
      <w:r>
        <w:rPr>
          <w:rFonts w:ascii="Calibri" w:cs="Calibri" w:eastAsia="Calibri" w:hAnsi="Calibri"/>
          <w:sz w:val="22"/>
          <w:szCs w:val="22"/>
        </w:rPr>
        <w:t xml:space="preserve">Perhaps the most critical challenge facing any successful innovation is scalability — the capacity of a solution to grow without proportional increases in cost or complexity. A product may perform brilliantly at small scale yet collapse under the demands of millions of users. Entrepreneurs who can drive technological disruption and simultaneously scale an innovative solution are exceptionally rare, which is why the companies that manage to accelerate product iteration while maintaining quality tend to define entire industries for a generation.</w:t>
      </w:r>
    </w:p>
    <w:p>
      <w:r>
        <w:br w:type="page"/>
      </w:r>
    </w:p>
    <w:p>
      <w:pPr>
        <w:spacing w:after="80"/>
      </w:pPr>
      <w:r>
        <w:rPr>
          <w:rFonts w:ascii="Calibri" w:cs="Calibri" w:eastAsia="Calibri" w:hAnsi="Calibri"/>
          <w:b/>
          <w:bCs/>
          <w:color w:val="6B7280"/>
          <w:sz w:val="20"/>
          <w:szCs w:val="20"/>
        </w:rPr>
        <w:t xml:space="preserve">B3-T36</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36. Education &amp; Knowledge Systems</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Debates about the purpose of education have long centred on the tension between two dominant philosophies. Traditional transmission models treat the teacher as an authority who transfers fixed bodies of knowledge to passive students. In contrast, constructivism holds that learners build understanding through active engagement with their environment — a position that demands educators rethink both pedagogy and the design of the curriculum to prioritise meaning-making over rote recall.</w:t>
      </w:r>
    </w:p>
    <w:p>
      <w:pPr>
        <w:spacing w:after="200"/>
        <w:jc w:val="both"/>
      </w:pPr>
      <w:r>
        <w:rPr>
          <w:rFonts w:ascii="Calibri" w:cs="Calibri" w:eastAsia="Calibri" w:hAnsi="Calibri"/>
          <w:sz w:val="22"/>
          <w:szCs w:val="22"/>
        </w:rPr>
        <w:t xml:space="preserve">Central to contemporary educational reform is the concept of scaffolding — the temporary support structures that teachers provide to help learners accomplish tasks slightly beyond their current ability. Effective scaffolding enables educators to foster critical literacy, equipping students not merely to read and comprehend but to interrogate the assumptions embedded in texts and media. Such skills grow more urgent as misinformation proliferates across digital platforms.</w:t>
      </w:r>
    </w:p>
    <w:p>
      <w:pPr>
        <w:spacing w:after="200"/>
        <w:jc w:val="both"/>
      </w:pPr>
      <w:r>
        <w:rPr>
          <w:rFonts w:ascii="Calibri" w:cs="Calibri" w:eastAsia="Calibri" w:hAnsi="Calibri"/>
          <w:sz w:val="22"/>
          <w:szCs w:val="22"/>
        </w:rPr>
        <w:t xml:space="preserve">Meaningful assessment must therefore go beyond measuring factual recall and instead capture a learner's capacity for higher-order reasoning. Equally important is the development of metacognition — the ability to monitor and regulate one's own thinking processes — which allows students to develop metacognitive skills that transfer across disciplines and career contexts. Educators who promote learner autonomy understand that self-directed students ultimately outperform those trained only to follow instructions.</w:t>
      </w:r>
    </w:p>
    <w:p>
      <w:pPr>
        <w:spacing w:after="200"/>
        <w:jc w:val="both"/>
      </w:pPr>
      <w:r>
        <w:rPr>
          <w:rFonts w:ascii="Calibri" w:cs="Calibri" w:eastAsia="Calibri" w:hAnsi="Calibri"/>
          <w:sz w:val="22"/>
          <w:szCs w:val="22"/>
        </w:rPr>
        <w:t xml:space="preserve">Any serious attempt to challenge transmission models of education must also address equity — the principle that every learner, regardless of socioeconomic background or ability, deserves access to high-quality learning experiences. When educators design inclusive curricula, they acknowledge that knowledge systems reflect particular cultural perspectives and that education should empower, rather than marginalise, those whose voices have historically been excluded from formal schooling.</w:t>
      </w:r>
    </w:p>
    <w:p>
      <w:r>
        <w:br w:type="page"/>
      </w:r>
    </w:p>
    <w:p>
      <w:pPr>
        <w:spacing w:after="80"/>
      </w:pPr>
      <w:r>
        <w:rPr>
          <w:rFonts w:ascii="Calibri" w:cs="Calibri" w:eastAsia="Calibri" w:hAnsi="Calibri"/>
          <w:b/>
          <w:bCs/>
          <w:color w:val="6B7280"/>
          <w:sz w:val="20"/>
          <w:szCs w:val="20"/>
        </w:rPr>
        <w:t xml:space="preserve">B3-T37</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37. Art, Creativity &amp; Expression</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Art has always occupied a contested space within human culture, its value debated as fiercely as its meaning. Central to this debate is the question of aesthetics — the philosophical study of beauty and taste — and the role of subjectivity in determining what qualifies as great art. Because artistic judgement is inherently personal, no single standard of representation can satisfy every viewer, and the history of art is, in many ways, a history of competing visions.</w:t>
      </w:r>
    </w:p>
    <w:p>
      <w:pPr>
        <w:spacing w:after="200"/>
        <w:jc w:val="both"/>
      </w:pPr>
      <w:r>
        <w:rPr>
          <w:rFonts w:ascii="Calibri" w:cs="Calibri" w:eastAsia="Calibri" w:hAnsi="Calibri"/>
          <w:sz w:val="22"/>
          <w:szCs w:val="22"/>
        </w:rPr>
        <w:t xml:space="preserve">The rise of the avant-garde in the late nineteenth century marked a decisive rupture with established tradition. Artists began to challenge aesthetic conventions, embracing abstraction as a means of moving beyond literal representation and exploring emotion, form, and concept. These works deliberately employed provocation to unsettle audiences and force a re-examination of what art could be. The medium itself — paint, stone, sound, or performance — became as meaningful as the content it conveyed.</w:t>
      </w:r>
    </w:p>
    <w:p>
      <w:pPr>
        <w:spacing w:after="200"/>
        <w:jc w:val="both"/>
      </w:pPr>
      <w:r>
        <w:rPr>
          <w:rFonts w:ascii="Calibri" w:cs="Calibri" w:eastAsia="Calibri" w:hAnsi="Calibri"/>
          <w:sz w:val="22"/>
          <w:szCs w:val="22"/>
        </w:rPr>
        <w:t xml:space="preserve">Yet artistic recognition has rarely been purely meritocratic. The system of patronage — whereby wealthy individuals or institutions fund artists in exchange for influence over their output — has shaped the canon of celebrated works for centuries. To gain critical recognition, artists have often needed either to align with powerful patrons or to question the artistic canon loudly enough to be heard. Those who succeed in doing so frequently provoke critical interpretation that endures long after their deaths.</w:t>
      </w:r>
    </w:p>
    <w:p>
      <w:pPr>
        <w:spacing w:after="200"/>
        <w:jc w:val="both"/>
      </w:pPr>
      <w:r>
        <w:rPr>
          <w:rFonts w:ascii="Calibri" w:cs="Calibri" w:eastAsia="Calibri" w:hAnsi="Calibri"/>
          <w:sz w:val="22"/>
          <w:szCs w:val="22"/>
        </w:rPr>
        <w:t xml:space="preserve">Today, the explosion of digital tools has radically democratised creation, allowing anyone to redefine artistic representation and reach a global audience without institutional gatekeeping. Yet this abundance also intensifies questions of interpretation: when everything can be art, how do we distinguish the profound from the superficial? The answer may lie not in fixed rules but in our collective willingness to engage seriously with the subjectivity of artistic experience itself.</w:t>
      </w:r>
    </w:p>
    <w:p>
      <w:r>
        <w:br w:type="page"/>
      </w:r>
    </w:p>
    <w:p>
      <w:pPr>
        <w:spacing w:after="80"/>
      </w:pPr>
      <w:r>
        <w:rPr>
          <w:rFonts w:ascii="Calibri" w:cs="Calibri" w:eastAsia="Calibri" w:hAnsi="Calibri"/>
          <w:b/>
          <w:bCs/>
          <w:color w:val="6B7280"/>
          <w:sz w:val="20"/>
          <w:szCs w:val="20"/>
        </w:rPr>
        <w:t xml:space="preserve">B3-T38</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38. Language, Thought &amp; Identity</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Few questions in the humanities are more contested than the relationship between language and thought. The theory of linguistic determinism proposes that the language we speak fundamentally constrains our cognition — shaping not just how we express ideas but which ideas we are capable of forming at all. While strong versions of this claim have largely been rejected, a softer view persists: language influences the way we perceive time, colour, spatial relationships, and social hierarchies in measurable ways.</w:t>
      </w:r>
    </w:p>
    <w:p>
      <w:pPr>
        <w:spacing w:after="200"/>
        <w:jc w:val="both"/>
      </w:pPr>
      <w:r>
        <w:rPr>
          <w:rFonts w:ascii="Calibri" w:cs="Calibri" w:eastAsia="Calibri" w:hAnsi="Calibri"/>
          <w:sz w:val="22"/>
          <w:szCs w:val="22"/>
        </w:rPr>
        <w:t xml:space="preserve">Language also operates as a powerful marker of social identity. Every speaker possesses not one but many registers — formal, informal, technical, intimate — which they deploy according to context. When speakers move between languages or varieties, they engage in code-switching, a practice that allows them to navigate linguistic identity fluidly across different social settings. A given dialect carries not merely regional information but also signals of class, education, and cultural belonging, often influencing how its speaker is perceived before a single word of content is heard.</w:t>
      </w:r>
    </w:p>
    <w:p>
      <w:pPr>
        <w:spacing w:after="200"/>
        <w:jc w:val="both"/>
      </w:pPr>
      <w:r>
        <w:rPr>
          <w:rFonts w:ascii="Calibri" w:cs="Calibri" w:eastAsia="Calibri" w:hAnsi="Calibri"/>
          <w:sz w:val="22"/>
          <w:szCs w:val="22"/>
        </w:rPr>
        <w:t xml:space="preserve">Words carry weight beyond their dictionary definitions: the connotation of a term — its emotional and cultural resonance — can entirely transform the force of a message within a discourse community. Politicians, advertisers, and diplomats all exploit the gap between denotation and connotation to convey subtle connotations that move audiences without making explicit claims. This is why the same event described in two different registers can produce radically different emotional responses in an audience.</w:t>
      </w:r>
    </w:p>
    <w:p>
      <w:pPr>
        <w:spacing w:after="200"/>
        <w:jc w:val="both"/>
      </w:pPr>
      <w:r>
        <w:rPr>
          <w:rFonts w:ascii="Calibri" w:cs="Calibri" w:eastAsia="Calibri" w:hAnsi="Calibri"/>
          <w:sz w:val="22"/>
          <w:szCs w:val="22"/>
        </w:rPr>
        <w:t xml:space="preserve">For individuals who employ code-switching strategies across multiple languages, multilingualism is not merely a communicative asset but an existential condition. Each language through which they shape cognitive frameworks offers a distinct worldview, and moving between them can feel like inhabiting different selves. As speakers worldwide assert linguistic rights against the dominance of global languages, this plurality of perspective is increasingly recognised not as a liability but as one of humanity's most profound intellectual resources.</w:t>
      </w:r>
    </w:p>
    <w:p>
      <w:r>
        <w:br w:type="page"/>
      </w:r>
    </w:p>
    <w:p>
      <w:pPr>
        <w:spacing w:after="80"/>
      </w:pPr>
      <w:r>
        <w:rPr>
          <w:rFonts w:ascii="Calibri" w:cs="Calibri" w:eastAsia="Calibri" w:hAnsi="Calibri"/>
          <w:b/>
          <w:bCs/>
          <w:color w:val="6B7280"/>
          <w:sz w:val="20"/>
          <w:szCs w:val="20"/>
        </w:rPr>
        <w:t xml:space="preserve">B3-T39</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39. Belief, Religion &amp; Worldview</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Questions of theology — the rational study of the divine — have occupied human thought for millennia, shaping civilisations and inspiring both profound art and bitter conflict. Every major tradition has developed its own body of doctrine, a set of authoritative teachings that defines what believers are expected to accept. Yet in the modern era, the rise of secularism has fundamentally altered the relationship between religion and public life, pushing faith increasingly into the private sphere.</w:t>
      </w:r>
    </w:p>
    <w:p>
      <w:pPr>
        <w:spacing w:after="200"/>
        <w:jc w:val="both"/>
      </w:pPr>
      <w:r>
        <w:rPr>
          <w:rFonts w:ascii="Calibri" w:cs="Calibri" w:eastAsia="Calibri" w:hAnsi="Calibri"/>
          <w:sz w:val="22"/>
          <w:szCs w:val="22"/>
        </w:rPr>
        <w:t xml:space="preserve">At the same time, demographic shifts have made pluralism — the recognition that multiple religious and philosophical traditions can legitimately coexist — an increasingly pressing social reality. This sits in tension with fundamentalism, which insists on a strict and literal interpretation of sacred texts and resists accommodation with other belief systems. Those who challenge religious fundamentalism argue that rigid orthodoxy threatens both individual freedom and coexistence between diverse communities.</w:t>
      </w:r>
    </w:p>
    <w:p>
      <w:pPr>
        <w:spacing w:after="200"/>
        <w:jc w:val="both"/>
      </w:pPr>
      <w:r>
        <w:rPr>
          <w:rFonts w:ascii="Calibri" w:cs="Calibri" w:eastAsia="Calibri" w:hAnsi="Calibri"/>
          <w:sz w:val="22"/>
          <w:szCs w:val="22"/>
        </w:rPr>
        <w:t xml:space="preserve">Central to these debates is the concept of morality — whether ethical standards are grounded in divine authority, reason, or social consensus. Many traditions also emphasise transcendence, the belief that reality extends beyond the material world to a higher spiritual dimension. Within a single faith, distinct denominations may interpret these ideas very differently, making it essential to promote interfaith dialogue rather than assuming doctrinal uniformity even within a tradition.</w:t>
      </w:r>
    </w:p>
    <w:p>
      <w:pPr>
        <w:spacing w:after="200"/>
        <w:jc w:val="both"/>
      </w:pPr>
      <w:r>
        <w:rPr>
          <w:rFonts w:ascii="Calibri" w:cs="Calibri" w:eastAsia="Calibri" w:hAnsi="Calibri"/>
          <w:sz w:val="22"/>
          <w:szCs w:val="22"/>
        </w:rPr>
        <w:t xml:space="preserve">The challenge for contemporary societies is to navigate secular pluralism without either erasing religious identity or privileging any single tradition in public institutions. Thinkers across disciplines have sought to reconcile faith and reason, demonstrating that spiritual commitment and critical inquiry need not be mutually exclusive. Ultimately, healthy democratic societies must uphold freedom of belief as a foundational value, ensuring that all citizens may live according to their deepest convictions.</w:t>
      </w:r>
    </w:p>
    <w:p>
      <w:r>
        <w:br w:type="page"/>
      </w:r>
    </w:p>
    <w:p>
      <w:pPr>
        <w:spacing w:after="80"/>
      </w:pPr>
      <w:r>
        <w:rPr>
          <w:rFonts w:ascii="Calibri" w:cs="Calibri" w:eastAsia="Calibri" w:hAnsi="Calibri"/>
          <w:b/>
          <w:bCs/>
          <w:color w:val="6B7280"/>
          <w:sz w:val="20"/>
          <w:szCs w:val="20"/>
        </w:rPr>
        <w:t xml:space="preserve">B3-T40</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40. Mathematics &amp; Abstract Thinking</w:t>
      </w:r>
    </w:p>
    <w:p>
      <w:pPr>
        <w:spacing w:after="240"/>
      </w:pPr>
      <w:r>
        <w:rPr>
          <w:rFonts w:ascii="Calibri" w:cs="Calibri" w:eastAsia="Calibri" w:hAnsi="Calibri"/>
          <w:i/>
          <w:iCs/>
          <w:color w:val="9CA3AF"/>
          <w:sz w:val="18"/>
          <w:szCs w:val="18"/>
        </w:rPr>
        <w:t xml:space="preserve">220 words</w:t>
      </w:r>
    </w:p>
    <w:p>
      <w:pPr>
        <w:spacing w:after="200"/>
        <w:jc w:val="both"/>
      </w:pPr>
      <w:r>
        <w:rPr>
          <w:rFonts w:ascii="Calibri" w:cs="Calibri" w:eastAsia="Calibri" w:hAnsi="Calibri"/>
          <w:sz w:val="22"/>
          <w:szCs w:val="22"/>
        </w:rPr>
        <w:t xml:space="preserve">Mathematics is often described as the purest form of human thought precisely because it operates through abstraction — the process of stripping away concrete particulars to reveal underlying patterns and structures. A central activity in this enterprise is constructing a proof, a rigorous logical argument that establishes the truth of a statement beyond all doubt. Each proven statement may become a theorem, a result that can then serve as a stepping stone to further discoveries.</w:t>
      </w:r>
    </w:p>
    <w:p>
      <w:pPr>
        <w:spacing w:after="200"/>
        <w:jc w:val="both"/>
      </w:pPr>
      <w:r>
        <w:rPr>
          <w:rFonts w:ascii="Calibri" w:cs="Calibri" w:eastAsia="Calibri" w:hAnsi="Calibri"/>
          <w:sz w:val="22"/>
          <w:szCs w:val="22"/>
        </w:rPr>
        <w:t xml:space="preserve">The engine that drives mathematical progress is logic — the study of valid inference — combined with creative intuition. Mathematicians frequently begin by proposing a conjecture, an educated guess that appears to be true but remains unverified. Some conjectures stand for centuries before anyone can construct a formal proof or disprove them. Foundational to all of this is the concept of an axiom: a statement accepted as self-evident, from which all other truths are derived.</w:t>
      </w:r>
    </w:p>
    <w:p>
      <w:pPr>
        <w:spacing w:after="200"/>
        <w:jc w:val="both"/>
      </w:pPr>
      <w:r>
        <w:rPr>
          <w:rFonts w:ascii="Calibri" w:cs="Calibri" w:eastAsia="Calibri" w:hAnsi="Calibri"/>
          <w:sz w:val="22"/>
          <w:szCs w:val="22"/>
        </w:rPr>
        <w:t xml:space="preserve">Two concepts that give mathematics its distinctive power are recursion — the process of defining something in terms of itself — and probability, which quantifies uncertainty and allows us to apply probabilistic reasoning to complex real-world phenomena. Together, these tools underpin fields ranging from cryptography to machine learning. Educators increasingly seek to develop algorithmic thinking in students, training them to break problems into systematic, repeatable steps.</w:t>
      </w:r>
    </w:p>
    <w:p>
      <w:pPr>
        <w:spacing w:after="200"/>
        <w:jc w:val="both"/>
      </w:pPr>
      <w:r>
        <w:rPr>
          <w:rFonts w:ascii="Calibri" w:cs="Calibri" w:eastAsia="Calibri" w:hAnsi="Calibri"/>
          <w:sz w:val="22"/>
          <w:szCs w:val="22"/>
        </w:rPr>
        <w:t xml:space="preserve">Perhaps no concept captures the strangeness of mathematics more vividly than infinity — a quantity without bound that defies ordinary intuition. When students learn to reason about abstract structures, they often discover that infinity comes in multiple sizes, a fact that shocked even professional mathematicians when first proposed. The ability to challenge an accepted theorem and to rebuild knowledge from first principles remains one of the highest expressions of mathematical maturity.</w:t>
      </w:r>
    </w:p>
    <w:p>
      <w:r>
        <w:br w:type="page"/>
      </w:r>
    </w:p>
    <w:p>
      <w:pPr>
        <w:spacing w:after="80"/>
      </w:pPr>
      <w:r>
        <w:rPr>
          <w:rFonts w:ascii="Calibri" w:cs="Calibri" w:eastAsia="Calibri" w:hAnsi="Calibri"/>
          <w:b/>
          <w:bCs/>
          <w:color w:val="6B7280"/>
          <w:sz w:val="20"/>
          <w:szCs w:val="20"/>
        </w:rPr>
        <w:t xml:space="preserve">B3-T41</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41. The Power of Rhetoric</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Rhetoric — the art of effective and persuasive communication — has shaped public life since ancient Greece. Classical theorists identified three pillars of persuasion: ethos, the speaker's authority and moral character; pathos, the emotional appeal to an audience; and logos, the use of logic and evidence. Together, these tools allow skilled communicators to craft a compelling argument that resonates at every level of human understanding.</w:t>
      </w:r>
    </w:p>
    <w:p>
      <w:pPr>
        <w:spacing w:after="200"/>
        <w:jc w:val="both"/>
      </w:pPr>
      <w:r>
        <w:rPr>
          <w:rFonts w:ascii="Calibri" w:cs="Calibri" w:eastAsia="Calibri" w:hAnsi="Calibri"/>
          <w:sz w:val="22"/>
          <w:szCs w:val="22"/>
        </w:rPr>
        <w:t xml:space="preserve">Great oratory depends on the ability to deploy rhetorical devices effectively. A skilled speaker may use hyperbole — deliberate exaggeration — to intensify a point, or a metaphor to reframe an abstract idea in vivid, accessible terms. When a speaker can also establish credibility through ethos, listeners are far more likely to accept the argument being presented, even before a single piece of evidence is cited.</w:t>
      </w:r>
    </w:p>
    <w:p>
      <w:pPr>
        <w:spacing w:after="200"/>
        <w:jc w:val="both"/>
      </w:pPr>
      <w:r>
        <w:rPr>
          <w:rFonts w:ascii="Calibri" w:cs="Calibri" w:eastAsia="Calibri" w:hAnsi="Calibri"/>
          <w:sz w:val="22"/>
          <w:szCs w:val="22"/>
        </w:rPr>
        <w:t xml:space="preserve">The power of eloquence lies not merely in vocabulary or grammar, but in timing, rhythm, and the strategic use of allusion. By referencing a well-known figure, text, or event, a speaker activates shared cultural knowledge and lends depth to the message. To appeal to audience emotions effectively, the rhetor must first understand what the audience values, fears, and aspires to.</w:t>
      </w:r>
    </w:p>
    <w:p>
      <w:pPr>
        <w:spacing w:after="200"/>
        <w:jc w:val="both"/>
      </w:pPr>
      <w:r>
        <w:rPr>
          <w:rFonts w:ascii="Calibri" w:cs="Calibri" w:eastAsia="Calibri" w:hAnsi="Calibri"/>
          <w:sz w:val="22"/>
          <w:szCs w:val="22"/>
        </w:rPr>
        <w:t xml:space="preserve">Modern rhetoric extends far beyond the podium. Political speeches, advertising campaigns, and social media posts all rely on the same ancient principles. Understanding how speakers use hyperbole for emphasis or deploy emotional appeals enables citizens to engage more critically with public discourse. In a world saturated with competing messages, rhetorical literacy is no longer a luxury — it is an essential democratic skill.</w:t>
      </w:r>
    </w:p>
    <w:p>
      <w:r>
        <w:br w:type="page"/>
      </w:r>
    </w:p>
    <w:p>
      <w:pPr>
        <w:spacing w:after="80"/>
      </w:pPr>
      <w:r>
        <w:rPr>
          <w:rFonts w:ascii="Calibri" w:cs="Calibri" w:eastAsia="Calibri" w:hAnsi="Calibri"/>
          <w:b/>
          <w:bCs/>
          <w:color w:val="6B7280"/>
          <w:sz w:val="20"/>
          <w:szCs w:val="20"/>
        </w:rPr>
        <w:t xml:space="preserve">B3-T42</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42. Writing &amp; Academic Discourse</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Academic writing is one of the most demanding forms of communication precisely because it must meet exacting standards of coherence, cohesion, and intellectual rigour. A well-constructed essay or research paper requires the writer to develop a coherent thesis — a central, arguable claim — and then build every paragraph in service of that claim. Without a clearly stated thesis, even the most sophisticated ideas risk appearing scattered and unconvincing.</w:t>
      </w:r>
    </w:p>
    <w:p>
      <w:pPr>
        <w:spacing w:after="200"/>
        <w:jc w:val="both"/>
      </w:pPr>
      <w:r>
        <w:rPr>
          <w:rFonts w:ascii="Calibri" w:cs="Calibri" w:eastAsia="Calibri" w:hAnsi="Calibri"/>
          <w:sz w:val="22"/>
          <w:szCs w:val="22"/>
        </w:rPr>
        <w:t xml:space="preserve">Effective argumentation depends not only on the strength of individual claims but on how they are connected. Cohesion — the linguistic glue of discourse — is achieved through transitional phrases, pronoun reference, and careful referencing of prior points. Skilled writers also synthesise multiple sources rather than merely summarising each one in isolation; this integration of evidence demonstrates genuine intellectual engagement with the literature.</w:t>
      </w:r>
    </w:p>
    <w:p>
      <w:pPr>
        <w:spacing w:after="200"/>
        <w:jc w:val="both"/>
      </w:pPr>
      <w:r>
        <w:rPr>
          <w:rFonts w:ascii="Calibri" w:cs="Calibri" w:eastAsia="Calibri" w:hAnsi="Calibri"/>
          <w:sz w:val="22"/>
          <w:szCs w:val="22"/>
        </w:rPr>
        <w:t xml:space="preserve">Academic writers must also manage stance — their positioning relative to the claims they discuss. A key strategy for doing this is hedging: using modal verbs, qualifying adverbs, and tentative expressions to signal appropriate epistemic caution. Writers who hedge claims appropriately signal awareness of complexity without undermining their own arguments. The related practice of nominalization — turning verbs and adjectives into abstract nouns — lends prose the formal, impersonal tone characteristic of academic registers.</w:t>
      </w:r>
    </w:p>
    <w:p>
      <w:pPr>
        <w:spacing w:after="200"/>
        <w:jc w:val="both"/>
      </w:pPr>
      <w:r>
        <w:rPr>
          <w:rFonts w:ascii="Calibri" w:cs="Calibri" w:eastAsia="Calibri" w:hAnsi="Calibri"/>
          <w:sz w:val="22"/>
          <w:szCs w:val="22"/>
        </w:rPr>
        <w:t xml:space="preserve">Underpinning all of this is academic integrity: the commitment to honest, original scholarship. Plagiarism — presenting another's ideas as one's own — is the most serious violation of this principle. When writers maintain academic integrity and construct a well-reasoned argument supported by properly attributed sources, they contribute meaningfully to the ongoing synthesis of human knowledge.</w:t>
      </w:r>
    </w:p>
    <w:p>
      <w:r>
        <w:br w:type="page"/>
      </w:r>
    </w:p>
    <w:p>
      <w:pPr>
        <w:spacing w:after="80"/>
      </w:pPr>
      <w:r>
        <w:rPr>
          <w:rFonts w:ascii="Calibri" w:cs="Calibri" w:eastAsia="Calibri" w:hAnsi="Calibri"/>
          <w:b/>
          <w:bCs/>
          <w:color w:val="6B7280"/>
          <w:sz w:val="20"/>
          <w:szCs w:val="20"/>
        </w:rPr>
        <w:t xml:space="preserve">B3-T43</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43. Cross-Cultural Communication</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Effective communication across cultures demands far more than fluency in a shared language. Every society develops its own pragmatics — the unspoken rules governing what is said, how it is said, and what remains deliberately unsaid. Central to this is the notion of register: the ability to shift between formal and informal language according to social context. A speaker who fails to calibrate register appropriately may cause unintended offence, regardless of grammatical accuracy.</w:t>
      </w:r>
    </w:p>
    <w:p>
      <w:pPr>
        <w:spacing w:after="200"/>
        <w:jc w:val="both"/>
      </w:pPr>
      <w:r>
        <w:rPr>
          <w:rFonts w:ascii="Calibri" w:cs="Calibri" w:eastAsia="Calibri" w:hAnsi="Calibri"/>
          <w:sz w:val="22"/>
          <w:szCs w:val="22"/>
        </w:rPr>
        <w:t xml:space="preserve">Many cultures place great value on face-saving — the preservation of social dignity in public interactions. In these contexts, indirectness is not evasiveness but a sophisticated communicative strategy designed to avoid face-threatening acts and maintain harmony. A direct refusal, perfectly acceptable in some Western cultures, may be deeply offensive elsewhere. Learners must therefore interpret indirect communication carefully, reading between the lines rather than taking words at face value.</w:t>
      </w:r>
    </w:p>
    <w:p>
      <w:pPr>
        <w:spacing w:after="200"/>
        <w:jc w:val="both"/>
      </w:pPr>
      <w:r>
        <w:rPr>
          <w:rFonts w:ascii="Calibri" w:cs="Calibri" w:eastAsia="Calibri" w:hAnsi="Calibri"/>
          <w:sz w:val="22"/>
          <w:szCs w:val="22"/>
        </w:rPr>
        <w:t xml:space="preserve">Beyond words, paralanguage — including tone, pace, gesture, and silence — carries enormous communicative weight. Intercultural encounters frequently break down not because of vocabulary gaps but because speakers misread these non-verbal cues. A dangerous pitfall is the stereotype: the tendency to assign fixed traits to entire cultural groups. Such generalisations breed misinterpretation and obstruct genuine dialogue. Competent communicators consciously challenge stereotypical assumptions in every encounter.</w:t>
      </w:r>
    </w:p>
    <w:p>
      <w:pPr>
        <w:spacing w:after="200"/>
        <w:jc w:val="both"/>
      </w:pPr>
      <w:r>
        <w:rPr>
          <w:rFonts w:ascii="Calibri" w:cs="Calibri" w:eastAsia="Calibri" w:hAnsi="Calibri"/>
          <w:sz w:val="22"/>
          <w:szCs w:val="22"/>
        </w:rPr>
        <w:t xml:space="preserve">Professional environments often impose their own protocol — formal procedures that govern interaction in diplomatic, business, or academic settings. The ability to navigate cultural communication norms and adapt to intercultural contexts is therefore an indispensable skill in a globalised world. Ultimately, those who succeed in cross-cultural communication do so by combining linguistic competence with cultural humility, treating each interaction as an opportunity to bridge communication styles rather than impose their own.</w:t>
      </w:r>
    </w:p>
    <w:p>
      <w:r>
        <w:br w:type="page"/>
      </w:r>
    </w:p>
    <w:p>
      <w:pPr>
        <w:spacing w:after="80"/>
      </w:pPr>
      <w:r>
        <w:rPr>
          <w:rFonts w:ascii="Calibri" w:cs="Calibri" w:eastAsia="Calibri" w:hAnsi="Calibri"/>
          <w:b/>
          <w:bCs/>
          <w:color w:val="6B7280"/>
          <w:sz w:val="20"/>
          <w:szCs w:val="20"/>
        </w:rPr>
        <w:t xml:space="preserve">B3-T44</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44. Digital Communication &amp; New Media</w:t>
      </w:r>
    </w:p>
    <w:p>
      <w:pPr>
        <w:spacing w:after="240"/>
      </w:pPr>
      <w:r>
        <w:rPr>
          <w:rFonts w:ascii="Calibri" w:cs="Calibri" w:eastAsia="Calibri" w:hAnsi="Calibri"/>
          <w:i/>
          <w:iCs/>
          <w:color w:val="9CA3AF"/>
          <w:sz w:val="18"/>
          <w:szCs w:val="18"/>
        </w:rPr>
        <w:t xml:space="preserve">220 words</w:t>
      </w:r>
    </w:p>
    <w:p>
      <w:pPr>
        <w:spacing w:after="200"/>
        <w:jc w:val="both"/>
      </w:pPr>
      <w:r>
        <w:rPr>
          <w:rFonts w:ascii="Calibri" w:cs="Calibri" w:eastAsia="Calibri" w:hAnsi="Calibri"/>
          <w:sz w:val="22"/>
          <w:szCs w:val="22"/>
        </w:rPr>
        <w:t xml:space="preserve">The digital revolution has fundamentally altered how individuals communicate, create, and consume information. At the heart of every major social media platform lies a proprietary algorithm — a set of computational rules that determines which content reaches which audiences. By rewarding high engagement, these systems incentivise emotionally charged, attention-grabbing posts over nuanced or factual ones, reshaping the very nature of public discourse.</w:t>
      </w:r>
    </w:p>
    <w:p>
      <w:pPr>
        <w:spacing w:after="200"/>
        <w:jc w:val="both"/>
      </w:pPr>
      <w:r>
        <w:rPr>
          <w:rFonts w:ascii="Calibri" w:cs="Calibri" w:eastAsia="Calibri" w:hAnsi="Calibri"/>
          <w:sz w:val="22"/>
          <w:szCs w:val="22"/>
        </w:rPr>
        <w:t xml:space="preserve">Content that achieves virality spreads rapidly across networks, often amplified by influencer accounts with large followings. However, viral reach does not guarantee truthfulness. Disinformation — deliberately false content designed to mislead — spreads with alarming ease online. Responsible users must combat digital disinformation by verifying sources before sharing, yet the pace of social media rarely affords time for critical reflection.</w:t>
      </w:r>
    </w:p>
    <w:p>
      <w:pPr>
        <w:spacing w:after="200"/>
        <w:jc w:val="both"/>
      </w:pPr>
      <w:r>
        <w:rPr>
          <w:rFonts w:ascii="Calibri" w:cs="Calibri" w:eastAsia="Calibri" w:hAnsi="Calibri"/>
          <w:sz w:val="22"/>
          <w:szCs w:val="22"/>
        </w:rPr>
        <w:t xml:space="preserve">A further concern is the echo chamber effect: algorithms feed users curated content that confirms existing beliefs, isolating them from opposing viewpoints. This undermines authenticity in public debate and makes it easier for bad actors to exploit algorithmic amplification to spread propaganda. Meanwhile, the question of anonymity complicates accountability — users who navigate online anonymity may feel emboldened to behave in ways they would never risk in face-to-face settings.</w:t>
      </w:r>
    </w:p>
    <w:p>
      <w:pPr>
        <w:spacing w:after="200"/>
        <w:jc w:val="both"/>
      </w:pPr>
      <w:r>
        <w:rPr>
          <w:rFonts w:ascii="Calibri" w:cs="Calibri" w:eastAsia="Calibri" w:hAnsi="Calibri"/>
          <w:sz w:val="22"/>
          <w:szCs w:val="22"/>
        </w:rPr>
        <w:t xml:space="preserve">Despite these challenges, digital media offers genuine opportunity. Creators who build an online presence thoughtfully and curate a personal brand with consistency can reach global audiences, bypassing traditional gatekeepers. The key lies in balancing self-promotion with genuine value creation — offering content that educates, connects, or inspires, rather than merely chasing metrics. In an age of information overload, authenticity and credibility remain the most durable currencies of digital influence.</w:t>
      </w:r>
    </w:p>
    <w:p>
      <w:r>
        <w:br w:type="page"/>
      </w:r>
    </w:p>
    <w:p>
      <w:pPr>
        <w:spacing w:after="80"/>
      </w:pPr>
      <w:r>
        <w:rPr>
          <w:rFonts w:ascii="Calibri" w:cs="Calibri" w:eastAsia="Calibri" w:hAnsi="Calibri"/>
          <w:b/>
          <w:bCs/>
          <w:color w:val="6B7280"/>
          <w:sz w:val="20"/>
          <w:szCs w:val="20"/>
        </w:rPr>
        <w:t xml:space="preserve">B3-T45</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45. Listening &amp; Interpretation</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Effective communication depends as much on listening as on speaking, yet active listening remains one of the most undervalued skills in both academic and professional contexts. Unlike passive hearing, active listening demands sustained attentiveness — the deliberate focus on a speaker's words, tone, and intent. Skilled listeners also attend to prosody, the patterns of stress, rhythm, and intonation that convey meaning beyond the literal content of words.</w:t>
      </w:r>
    </w:p>
    <w:p>
      <w:pPr>
        <w:spacing w:after="200"/>
        <w:jc w:val="both"/>
      </w:pPr>
      <w:r>
        <w:rPr>
          <w:rFonts w:ascii="Calibri" w:cs="Calibri" w:eastAsia="Calibri" w:hAnsi="Calibri"/>
          <w:sz w:val="22"/>
          <w:szCs w:val="22"/>
        </w:rPr>
        <w:t xml:space="preserve">A central challenge in real-world listening is handling ambiguity — situations where a speaker's words admit more than one interpretation. Proficient listeners draw on inference to fill in gaps, using contextual cues to construct the most plausible meaning. This process is closely related to understanding implicature: what a speaker implies rather than states outright. To draw pragmatic inferences accurately, listeners must integrate linguistic knowledge with awareness of social context and conversational norms.</w:t>
      </w:r>
    </w:p>
    <w:p>
      <w:pPr>
        <w:spacing w:after="200"/>
        <w:jc w:val="both"/>
      </w:pPr>
      <w:r>
        <w:rPr>
          <w:rFonts w:ascii="Calibri" w:cs="Calibri" w:eastAsia="Calibri" w:hAnsi="Calibri"/>
          <w:sz w:val="22"/>
          <w:szCs w:val="22"/>
        </w:rPr>
        <w:t xml:space="preserve">Beyond words themselves, skilled listeners are alert to subtext — the underlying attitudes or emotions that a speaker does not express explicitly. They attend to non-verbal cues such as facial expressions, gestures, and silences, which often carry as much communicative weight as speech itself. Signals of agreement or continued engagement, known as backchannelling — such as nodding or saying 'mm-hmm' — encourage speakers and signal that the listener is following along.</w:t>
      </w:r>
    </w:p>
    <w:p>
      <w:pPr>
        <w:spacing w:after="200"/>
        <w:jc w:val="both"/>
      </w:pPr>
      <w:r>
        <w:rPr>
          <w:rFonts w:ascii="Calibri" w:cs="Calibri" w:eastAsia="Calibri" w:hAnsi="Calibri"/>
          <w:sz w:val="22"/>
          <w:szCs w:val="22"/>
        </w:rPr>
        <w:t xml:space="preserve">When meaning remains unclear, the ability to seek clarification without disrupting conversational flow is a hallmark of communicative competence. Skilled listeners also know how to resolve communicative ambiguity by paraphrasing or asking targeted questions. Ultimately, those who practise active listening strategies consistently — including interpreting implied meaning and monitoring their own comprehension — become far more effective communicators, whether in academic discussions, professional meetings, or everyday interactions.</w:t>
      </w:r>
    </w:p>
    <w:p>
      <w:r>
        <w:br w:type="page"/>
      </w:r>
    </w:p>
    <w:p>
      <w:pPr>
        <w:spacing w:after="80"/>
      </w:pPr>
      <w:r>
        <w:rPr>
          <w:rFonts w:ascii="Calibri" w:cs="Calibri" w:eastAsia="Calibri" w:hAnsi="Calibri"/>
          <w:b/>
          <w:bCs/>
          <w:color w:val="6B7280"/>
          <w:sz w:val="20"/>
          <w:szCs w:val="20"/>
        </w:rPr>
        <w:t xml:space="preserve">B3-T46</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46. Negotiation &amp; Persuasion</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Negotiation is a structured form of communication in which parties with differing interests work towards a mutually acceptable outcome. At its core, successful negotiation demands the ability to build rapport strategically — establishing trust and goodwill from the outset so that the other party feels respected rather than pressured. When rapport is absent, even technically sound proposals are often rejected, because people's willingness to compromise depends as much on relationship quality as on the merits of any given offer.</w:t>
      </w:r>
    </w:p>
    <w:p>
      <w:pPr>
        <w:spacing w:after="200"/>
        <w:jc w:val="both"/>
      </w:pPr>
      <w:r>
        <w:rPr>
          <w:rFonts w:ascii="Calibri" w:cs="Calibri" w:eastAsia="Calibri" w:hAnsi="Calibri"/>
          <w:sz w:val="22"/>
          <w:szCs w:val="22"/>
        </w:rPr>
        <w:t xml:space="preserve">Experienced negotiators also understand the power of framing — presenting an offer in a way that emphasises its benefits rather than its costs. How a position is framed dramatically affects the other party's response. Alongside framing, anchoring plays a pivotal role: the first figure or condition introduced in a negotiation tends to set the psychological reference point around which all subsequent discussion revolves. Skilled negotiators therefore frame a negotiating position carefully before any specific numbers are placed on the table.</w:t>
      </w:r>
    </w:p>
    <w:p>
      <w:pPr>
        <w:spacing w:after="200"/>
        <w:jc w:val="both"/>
      </w:pPr>
      <w:r>
        <w:rPr>
          <w:rFonts w:ascii="Calibri" w:cs="Calibri" w:eastAsia="Calibri" w:hAnsi="Calibri"/>
          <w:sz w:val="22"/>
          <w:szCs w:val="22"/>
        </w:rPr>
        <w:t xml:space="preserve">Progress can stall when parties reach a deadlock — a point at which neither side is willing to move. In such moments, a trained mediator may be brought in to facilitate dialogue, or negotiators themselves must find creative ways to break a negotiating deadlock. One proven approach is to make strategic concessions: deliberately yielding on lower-priority issues to signal good faith and unlock movement on issues that matter more.</w:t>
      </w:r>
    </w:p>
    <w:p>
      <w:pPr>
        <w:spacing w:after="200"/>
        <w:jc w:val="both"/>
      </w:pPr>
      <w:r>
        <w:rPr>
          <w:rFonts w:ascii="Calibri" w:cs="Calibri" w:eastAsia="Calibri" w:hAnsi="Calibri"/>
          <w:sz w:val="22"/>
          <w:szCs w:val="22"/>
        </w:rPr>
        <w:t xml:space="preserve">A further technique is to exploit leverage — any advantage that strengthens one's bargaining position — while maintaining assertiveness without aggression. The principle of reciprocity also shapes negotiation dynamics profoundly: when one party makes a concession, the other typically feels a social obligation to respond in kind. Skilled negotiators deliberately apply the principle of reciprocity to create momentum, using carefully timed gestures of goodwill to encourage increasingly cooperative behaviour from the opposing side.</w:t>
      </w:r>
    </w:p>
    <w:p>
      <w:r>
        <w:br w:type="page"/>
      </w:r>
    </w:p>
    <w:p>
      <w:pPr>
        <w:spacing w:after="80"/>
      </w:pPr>
      <w:r>
        <w:rPr>
          <w:rFonts w:ascii="Calibri" w:cs="Calibri" w:eastAsia="Calibri" w:hAnsi="Calibri"/>
          <w:b/>
          <w:bCs/>
          <w:color w:val="6B7280"/>
          <w:sz w:val="20"/>
          <w:szCs w:val="20"/>
        </w:rPr>
        <w:t xml:space="preserve">B3-T47</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47. Storytelling &amp; Narrative</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Every compelling story depends on the skill of its narrator — the voice that guides the reader through events, shaping what is revealed and what is concealed. A skilled author will carefully construct a plot that moves with purpose, ensuring each scene builds on the last. At the heart of any narrative sits the protagonist, whose desires and contradictions draw readers into the world of the story. When a writer chooses to employ unreliable narration, they invite the reader to question everything they are told, creating an intellectually rich reading experience.</w:t>
      </w:r>
    </w:p>
    <w:p>
      <w:pPr>
        <w:spacing w:after="200"/>
        <w:jc w:val="both"/>
      </w:pPr>
      <w:r>
        <w:rPr>
          <w:rFonts w:ascii="Calibri" w:cs="Calibri" w:eastAsia="Calibri" w:hAnsi="Calibri"/>
          <w:sz w:val="22"/>
          <w:szCs w:val="22"/>
        </w:rPr>
        <w:t xml:space="preserve">No story can sustain a reader's attention without conflict — the engine that drives all dramatic action forward. Whether internal or external, conflict forces characters to make choices that reveal who they truly are. The manner in which this tension is ultimately resolved constitutes the resolution, which, in sophisticated fiction, rarely offers simple answers. Skilled authors know how to build narrative tension steadily across chapters, so that the resolution feels both earned and surprising.</w:t>
      </w:r>
    </w:p>
    <w:p>
      <w:pPr>
        <w:spacing w:after="200"/>
        <w:jc w:val="both"/>
      </w:pPr>
      <w:r>
        <w:rPr>
          <w:rFonts w:ascii="Calibri" w:cs="Calibri" w:eastAsia="Calibri" w:hAnsi="Calibri"/>
          <w:sz w:val="22"/>
          <w:szCs w:val="22"/>
        </w:rPr>
        <w:t xml:space="preserve">The depth of a story is further shaped by characterisation — the techniques an author uses to present complex, believable people rather than flat types. Writers who develop complex characterisation invest their figures with contradictions, histories, and evolving motivations. Alongside characterisation, the theme — the underlying idea a story explores — gives the narrative its intellectual weight. A daring author may choose to subvert audience expectations by refusing to confirm the moral certainties readers bring to the text.</w:t>
      </w:r>
    </w:p>
    <w:p>
      <w:pPr>
        <w:spacing w:after="200"/>
        <w:jc w:val="both"/>
      </w:pPr>
      <w:r>
        <w:rPr>
          <w:rFonts w:ascii="Calibri" w:cs="Calibri" w:eastAsia="Calibri" w:hAnsi="Calibri"/>
          <w:sz w:val="22"/>
          <w:szCs w:val="22"/>
        </w:rPr>
        <w:t xml:space="preserve">Foreshadowing — the technique of planting subtle hints about future events — is one of the most elegant tools available to a storyteller. When employed with restraint, it rewards attentive readers without telegraphing the outcome. A story's perspective, whether first-person or third-person omniscient, fundamentally colours how readers interpret events. The most ambitious narratives use the figure of the unreliable narrator and masterfully convey a thematic message that only becomes fully visible in retrospect, compelling readers to return to the opening pages with new eyes.</w:t>
      </w:r>
    </w:p>
    <w:p>
      <w:r>
        <w:br w:type="page"/>
      </w:r>
    </w:p>
    <w:p>
      <w:pPr>
        <w:spacing w:after="80"/>
      </w:pPr>
      <w:r>
        <w:rPr>
          <w:rFonts w:ascii="Calibri" w:cs="Calibri" w:eastAsia="Calibri" w:hAnsi="Calibri"/>
          <w:b/>
          <w:bCs/>
          <w:color w:val="6B7280"/>
          <w:sz w:val="20"/>
          <w:szCs w:val="20"/>
        </w:rPr>
        <w:t xml:space="preserve">B3-T48</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48. Language Change &amp; Evolution</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Language is never static. To trace linguistic evolution is to discover that the words speakers use today have travelled through centuries of contact, conquest, and cultural exchange. The study of etymology reveals how words carry the traces of distant civilisations within them — a single term may contain layers of Latin, Old Norse, and Arabic influence. Linguists who document semantic shift can show how a word's meaning migrates gradually, often driven by social change rather than deliberate choice.</w:t>
      </w:r>
    </w:p>
    <w:p>
      <w:pPr>
        <w:spacing w:after="200"/>
        <w:jc w:val="both"/>
      </w:pPr>
      <w:r>
        <w:rPr>
          <w:rFonts w:ascii="Calibri" w:cs="Calibri" w:eastAsia="Calibri" w:hAnsi="Calibri"/>
          <w:sz w:val="22"/>
          <w:szCs w:val="22"/>
        </w:rPr>
        <w:t xml:space="preserve">One of the most visible mechanisms of change is borrowing — the adoption of words from other languages into a recipient tongue. English, for instance, has one of the largest lexicons of any language precisely because it has borrowed prolifically from French, German, and dozens of other sources. Alongside borrowing, coinage — the deliberate invention of new words — accelerates when technology or social movements demand expressions that do not yet exist. Writers and marketers who coin new terminology often find their inventions absorbed into everyday speech within a generation.</w:t>
      </w:r>
    </w:p>
    <w:p>
      <w:pPr>
        <w:spacing w:after="200"/>
        <w:jc w:val="both"/>
      </w:pPr>
      <w:r>
        <w:rPr>
          <w:rFonts w:ascii="Calibri" w:cs="Calibri" w:eastAsia="Calibri" w:hAnsi="Calibri"/>
          <w:sz w:val="22"/>
          <w:szCs w:val="22"/>
        </w:rPr>
        <w:t xml:space="preserve">Contact between populations also gives rise to pidgin languages — simplified hybrid systems that emerge when speakers of different tongues must communicate for trade or work. Over generations, a pidgin may develop into a creole, acquiring native speakers and the full grammatical complexity of a natural language. Those who resist linguistic standardisation argue that imposing a single prestige variety erases the rich diversity encoded in regional speech. The standardisation of spelling and grammar, while aiding literacy, can accelerate obsolescence by pushing non-standard forms toward extinction.</w:t>
      </w:r>
    </w:p>
    <w:p>
      <w:pPr>
        <w:spacing w:after="200"/>
        <w:jc w:val="both"/>
      </w:pPr>
      <w:r>
        <w:rPr>
          <w:rFonts w:ascii="Calibri" w:cs="Calibri" w:eastAsia="Calibri" w:hAnsi="Calibri"/>
          <w:sz w:val="22"/>
          <w:szCs w:val="22"/>
        </w:rPr>
        <w:t xml:space="preserve">Meanwhile, every language carries within it a semantic shift history — words that once meant something entirely different. The word 'silly', for example, originally meant 'blessed'. A neologism that seems jarring today may become unremarkable within a decade, while established words slip quietly into obsolescence. Linguists who work to preserve endangered dialects argue that each lost variety represents an irreplaceable way of perceiving and organising human experience, a unique cognitive and cultural heritage that cannot be recovered once gone.</w:t>
      </w:r>
    </w:p>
    <w:p>
      <w:r>
        <w:br w:type="page"/>
      </w:r>
    </w:p>
    <w:p>
      <w:pPr>
        <w:spacing w:after="80"/>
      </w:pPr>
      <w:r>
        <w:rPr>
          <w:rFonts w:ascii="Calibri" w:cs="Calibri" w:eastAsia="Calibri" w:hAnsi="Calibri"/>
          <w:b/>
          <w:bCs/>
          <w:color w:val="6B7280"/>
          <w:sz w:val="20"/>
          <w:szCs w:val="20"/>
        </w:rPr>
        <w:t xml:space="preserve">B3-T49</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49. Public Speaking &amp; Presentation</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Effective public speaking depends far less on what is said than on how it is said. The delivery of a speech — encompassing tone, pace, and physical presence — is what transforms a written script into a live, persuasive performance. Speakers who master pacing know when to slow down for emphasis, when to pause for impact, and when to accelerate to build momentum. Without this rhythmic control, even a well-researched argument risks losing the room.</w:t>
      </w:r>
    </w:p>
    <w:p>
      <w:pPr>
        <w:spacing w:after="200"/>
        <w:jc w:val="both"/>
      </w:pPr>
      <w:r>
        <w:rPr>
          <w:rFonts w:ascii="Calibri" w:cs="Calibri" w:eastAsia="Calibri" w:hAnsi="Calibri"/>
          <w:sz w:val="22"/>
          <w:szCs w:val="22"/>
        </w:rPr>
        <w:t xml:space="preserve">Strong audience awareness is equally critical. Skilled presenters continuously read the room, adjusting their register, examples, and even humour in response to visible cues. Complementing this sensitivity is deliberate use of gesture — purposeful hand and body movement that reinforces meaning and sustains attention. A well-placed gesture can underscore a key point more powerfully than any additional word, provided it arises naturally from confidence rather than rehearsed habit.</w:t>
      </w:r>
    </w:p>
    <w:p>
      <w:pPr>
        <w:spacing w:after="200"/>
        <w:jc w:val="both"/>
      </w:pPr>
      <w:r>
        <w:rPr>
          <w:rFonts w:ascii="Calibri" w:cs="Calibri" w:eastAsia="Calibri" w:hAnsi="Calibri"/>
          <w:sz w:val="22"/>
          <w:szCs w:val="22"/>
        </w:rPr>
        <w:t xml:space="preserve">Clarity of structure is the backbone of any compelling presentation. Audiences follow complex ideas far more readily when speakers use signposting language effectively — phrases such as 'Moving on to', 'To summarise', or 'The key point here is' act as navigational aids. Paired with a coherent structure, signposting prevents listeners from becoming lost and ensures that the intended message survives the journey from speaker to audience intact.</w:t>
      </w:r>
    </w:p>
    <w:p>
      <w:pPr>
        <w:spacing w:after="200"/>
        <w:jc w:val="both"/>
      </w:pPr>
      <w:r>
        <w:rPr>
          <w:rFonts w:ascii="Calibri" w:cs="Calibri" w:eastAsia="Calibri" w:hAnsi="Calibri"/>
          <w:sz w:val="22"/>
          <w:szCs w:val="22"/>
        </w:rPr>
        <w:t xml:space="preserve">Finally, sustained engagement separates a memorable presentation from a forgettable one. Speakers who tailor delivery to context — whether addressing a boardroom, a lecture theatre, or a mixed public forum — consistently outperform those who apply a one-size-fits-all approach. Visual aids, when used judiciously, support rather than replace spoken content, directing attention and reinforcing key data. The presenter who can project confidence under pressure and adapt in real time will always hold the advantage.</w:t>
      </w:r>
    </w:p>
    <w:p>
      <w:r>
        <w:br w:type="page"/>
      </w:r>
    </w:p>
    <w:p>
      <w:pPr>
        <w:spacing w:after="80"/>
      </w:pPr>
      <w:r>
        <w:rPr>
          <w:rFonts w:ascii="Calibri" w:cs="Calibri" w:eastAsia="Calibri" w:hAnsi="Calibri"/>
          <w:b/>
          <w:bCs/>
          <w:color w:val="6B7280"/>
          <w:sz w:val="20"/>
          <w:szCs w:val="20"/>
        </w:rPr>
        <w:t xml:space="preserve">B3-T50</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50. Translation &amp; Interpretation</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Translation is frequently misunderstood as a mechanical process of substituting words from one language with their counterparts in another. In reality, it demands a sophisticated grasp of equivalence — the degree to which a translated expression reproduces the meaning, tone, and pragmatic force of the source text. Achieving true equivalence is rarely straightforward, since no two languages carve up reality in identical ways, and concepts central to one culture may have no ready parallel in another.</w:t>
      </w:r>
    </w:p>
    <w:p>
      <w:pPr>
        <w:spacing w:after="200"/>
        <w:jc w:val="both"/>
      </w:pPr>
      <w:r>
        <w:rPr>
          <w:rFonts w:ascii="Calibri" w:cs="Calibri" w:eastAsia="Calibri" w:hAnsi="Calibri"/>
          <w:sz w:val="22"/>
          <w:szCs w:val="22"/>
        </w:rPr>
        <w:t xml:space="preserve">A central challenge for any translator is to resolve translational ambiguity — the situation in which a word or phrase in the source text carries multiple plausible meanings. A seemingly innocuous nuance of register, irony, or cultural allusion can completely alter how a passage functions in the target language. Skilled translators must therefore navigate cultural transfer challenges with analytical precision, deciding which layer of meaning to prioritise and how much adaptation the receiving audience requires.</w:t>
      </w:r>
    </w:p>
    <w:p>
      <w:pPr>
        <w:spacing w:after="200"/>
        <w:jc w:val="both"/>
      </w:pPr>
      <w:r>
        <w:rPr>
          <w:rFonts w:ascii="Calibri" w:cs="Calibri" w:eastAsia="Calibri" w:hAnsi="Calibri"/>
          <w:sz w:val="22"/>
          <w:szCs w:val="22"/>
        </w:rPr>
        <w:t xml:space="preserve">The concept of fidelity lies at the heart of translation ethics. To maintain fidelity to source text is to honour the author's intent, even when doing so produces awkwardness in the target language. Localisation, by contrast, prioritises the reader's experience over strict accuracy, adapting idioms, cultural references, and even humour to resonate with a new audience. Neither approach is inherently superior; the best choice depends on purpose, genre, and the need to adapt for target audience.</w:t>
      </w:r>
    </w:p>
    <w:p>
      <w:pPr>
        <w:spacing w:after="200"/>
        <w:jc w:val="both"/>
      </w:pPr>
      <w:r>
        <w:rPr>
          <w:rFonts w:ascii="Calibri" w:cs="Calibri" w:eastAsia="Calibri" w:hAnsi="Calibri"/>
          <w:sz w:val="22"/>
          <w:szCs w:val="22"/>
        </w:rPr>
        <w:t xml:space="preserve">Interpreting — the oral counterpart of written translation — adds a further layer of complexity, as professionals must preserve semantic equivalence in real time, without the luxury of revision. A useful quality-control tool is back-translation: retranslating a translated text back into the source language to expose gaps in meaning. Whether working with the written or spoken word, the finest language professionals understand that their craft is ultimately an act of mediation between worlds.</w:t>
      </w:r>
    </w:p>
    <w:p>
      <w:r>
        <w:br w:type="page"/>
      </w:r>
    </w:p>
    <w:p>
      <w:pPr>
        <w:spacing w:after="80"/>
      </w:pPr>
      <w:r>
        <w:rPr>
          <w:rFonts w:ascii="Calibri" w:cs="Calibri" w:eastAsia="Calibri" w:hAnsi="Calibri"/>
          <w:b/>
          <w:bCs/>
          <w:color w:val="6B7280"/>
          <w:sz w:val="20"/>
          <w:szCs w:val="20"/>
        </w:rPr>
        <w:t xml:space="preserve">B3-T51</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51. Moral Philosophy &amp; Ethics</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Throughout history, philosophers have wrestled with the nature of right and wrong. Consequentialism judges actions solely by their outcomes, asserting that any act producing the greatest good for the greatest number is morally justified. This school of thought, most famously expressed as utilitarianism by Bentham and Mill, offers a compelling framework for policy decisions yet risks reducing individuals to mere instruments of collective welfare. A society that chooses to apply consequentialist reasoning must confront the uncomfortable possibility that harming a few can be justified for the benefit of many.</w:t>
      </w:r>
    </w:p>
    <w:p>
      <w:pPr>
        <w:spacing w:after="200"/>
        <w:jc w:val="both"/>
      </w:pPr>
      <w:r>
        <w:rPr>
          <w:rFonts w:ascii="Calibri" w:cs="Calibri" w:eastAsia="Calibri" w:hAnsi="Calibri"/>
          <w:sz w:val="22"/>
          <w:szCs w:val="22"/>
        </w:rPr>
        <w:t xml:space="preserve">In contrast, deontology holds that certain actions are intrinsically right or wrong, regardless of consequences. Kant argued that rational beings possess autonomy — the capacity for self-governance — and must never be treated merely as means to an end. This approach demands that we uphold principles of justice absolutely, even when doing so appears to produce worse outcomes. A key challenge is how to navigate complex moral dilemmas in which competing duties cannot all be honoured simultaneously.</w:t>
      </w:r>
    </w:p>
    <w:p>
      <w:pPr>
        <w:spacing w:after="200"/>
        <w:jc w:val="both"/>
      </w:pPr>
      <w:r>
        <w:rPr>
          <w:rFonts w:ascii="Calibri" w:cs="Calibri" w:eastAsia="Calibri" w:hAnsi="Calibri"/>
          <w:sz w:val="22"/>
          <w:szCs w:val="22"/>
        </w:rPr>
        <w:t xml:space="preserve">Virtue ethics, rooted in Aristotle's work, shifts focus from rules and outcomes to character. It asks not 'what should I do?' but 'what kind of person should I be?' Virtues such as integrity and prudence guide behaviour, while culpability is assessed in light of an agent's character and intentions. This tradition tends to challenge moral relativism — the view that ethical standards are purely culturally determined — by arguing that some virtues are universally constitutive of human flourishing.</w:t>
      </w:r>
    </w:p>
    <w:p>
      <w:pPr>
        <w:spacing w:after="200"/>
        <w:jc w:val="both"/>
      </w:pPr>
      <w:r>
        <w:rPr>
          <w:rFonts w:ascii="Calibri" w:cs="Calibri" w:eastAsia="Calibri" w:hAnsi="Calibri"/>
          <w:sz w:val="22"/>
          <w:szCs w:val="22"/>
        </w:rPr>
        <w:t xml:space="preserve">No single theory resolves every moral question, which is why philosophers recognise the enduring importance of the ethical dilemma. Real-world justice requires practitioners — from judges to policymakers — to balance competing ethical obligations thoughtfully, drawing on multiple frameworks rather than adhering rigidly to one. Moral relativism, while a useful reminder of cultural diversity, cannot justify atrocities; integrity demands that we engage critically with difficult questions rather than retreat into comfortable relativism.</w:t>
      </w:r>
    </w:p>
    <w:p>
      <w:r>
        <w:br w:type="page"/>
      </w:r>
    </w:p>
    <w:p>
      <w:pPr>
        <w:spacing w:after="80"/>
      </w:pPr>
      <w:r>
        <w:rPr>
          <w:rFonts w:ascii="Calibri" w:cs="Calibri" w:eastAsia="Calibri" w:hAnsi="Calibri"/>
          <w:b/>
          <w:bCs/>
          <w:color w:val="6B7280"/>
          <w:sz w:val="20"/>
          <w:szCs w:val="20"/>
        </w:rPr>
        <w:t xml:space="preserve">B3-T52</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52. Environmental Ethics &amp; Sustainability</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The ecological crisis of the twenty-first century has made environmental ethics one of the most urgent branches of moral philosophy. Traditional anthropocentrism — the view that human interests are the sole or primary basis of moral value — is increasingly challenged by thinkers who argue that biodiversity, ecosystem health, and the intrinsic worth of non-human life must also be considered. To challenge anthropocentric values is not to dismiss human welfare, but to expand the circle of moral concern to encompass the natural world.</w:t>
      </w:r>
    </w:p>
    <w:p>
      <w:pPr>
        <w:spacing w:after="200"/>
        <w:jc w:val="both"/>
      </w:pPr>
      <w:r>
        <w:rPr>
          <w:rFonts w:ascii="Calibri" w:cs="Calibri" w:eastAsia="Calibri" w:hAnsi="Calibri"/>
          <w:sz w:val="22"/>
          <w:szCs w:val="22"/>
        </w:rPr>
        <w:t xml:space="preserve">Central to this debate is the concept of stewardship — the idea that humanity holds the natural world in trust for future generations. This is closely linked to intergenerational equity, which demands that present generations avoid depleting resources or destabilising ecosystem services in ways that compromise the wellbeing of those yet to be born. Proponents argue that we must promote intergenerational equity as a binding ethical obligation, not merely an aspiration.</w:t>
      </w:r>
    </w:p>
    <w:p>
      <w:pPr>
        <w:spacing w:after="200"/>
        <w:jc w:val="both"/>
      </w:pPr>
      <w:r>
        <w:rPr>
          <w:rFonts w:ascii="Calibri" w:cs="Calibri" w:eastAsia="Calibri" w:hAnsi="Calibri"/>
          <w:sz w:val="22"/>
          <w:szCs w:val="22"/>
        </w:rPr>
        <w:t xml:space="preserve">Practical sustainability requires action on multiple fronts. Individuals and corporations alike are urged to adopt sustainable practices in production, consumption, and waste management. Governments and industries must reduce carbon footprint through regulatory frameworks and technological innovation. Preserving habitats is equally urgent: conservation scientists warn that unless we protect biodiversity hotspots — regions of exceptional species richness — irreversible extinctions will accelerate, weakening ecological resilience globally.</w:t>
      </w:r>
    </w:p>
    <w:p>
      <w:pPr>
        <w:spacing w:after="200"/>
        <w:jc w:val="both"/>
      </w:pPr>
      <w:r>
        <w:rPr>
          <w:rFonts w:ascii="Calibri" w:cs="Calibri" w:eastAsia="Calibri" w:hAnsi="Calibri"/>
          <w:sz w:val="22"/>
          <w:szCs w:val="22"/>
        </w:rPr>
        <w:t xml:space="preserve">Conservation alone, however, is insufficient if anthropocentrism continues to drive economic policy. True sustainability requires a paradigm shift: recognising that healthy ecosystems underpin all human prosperity, that biodiversity loss is an existential threat, and that building resilience into both natural and social systems is a prerequisite for long-term survival. Genuine stewardship demands that we prioritise the planet's long-term health over short-term economic gain — a profound ecological and ethical commitment.</w:t>
      </w:r>
    </w:p>
    <w:p>
      <w:r>
        <w:br w:type="page"/>
      </w:r>
    </w:p>
    <w:p>
      <w:pPr>
        <w:spacing w:after="80"/>
      </w:pPr>
      <w:r>
        <w:rPr>
          <w:rFonts w:ascii="Calibri" w:cs="Calibri" w:eastAsia="Calibri" w:hAnsi="Calibri"/>
          <w:b/>
          <w:bCs/>
          <w:color w:val="6B7280"/>
          <w:sz w:val="20"/>
          <w:szCs w:val="20"/>
        </w:rPr>
        <w:t xml:space="preserve">B3-T53</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53. Bioethics &amp; Medicine</w:t>
      </w:r>
    </w:p>
    <w:p>
      <w:pPr>
        <w:spacing w:after="240"/>
      </w:pPr>
      <w:r>
        <w:rPr>
          <w:rFonts w:ascii="Calibri" w:cs="Calibri" w:eastAsia="Calibri" w:hAnsi="Calibri"/>
          <w:i/>
          <w:iCs/>
          <w:color w:val="9CA3AF"/>
          <w:sz w:val="18"/>
          <w:szCs w:val="18"/>
        </w:rPr>
        <w:t xml:space="preserve">223 words</w:t>
      </w:r>
    </w:p>
    <w:p>
      <w:pPr>
        <w:spacing w:after="200"/>
        <w:jc w:val="both"/>
      </w:pPr>
      <w:r>
        <w:rPr>
          <w:rFonts w:ascii="Calibri" w:cs="Calibri" w:eastAsia="Calibri" w:hAnsi="Calibri"/>
          <w:sz w:val="22"/>
          <w:szCs w:val="22"/>
        </w:rPr>
        <w:t xml:space="preserve">Modern medicine rests on a set of ethical principles designed to protect both patients and practitioners. Central among these is consent — the requirement that patients must voluntarily agree to any medical procedure or clinical trial before it proceeds. Closely related is the principle of autonomy, which holds that individuals have the right to make informed decisions about their own bodies, even when those decisions conflict with medical advice. Together, these concepts form the ethical foundation of patient-centred care.</w:t>
      </w:r>
    </w:p>
    <w:p>
      <w:pPr>
        <w:spacing w:after="200"/>
        <w:jc w:val="both"/>
      </w:pPr>
      <w:r>
        <w:rPr>
          <w:rFonts w:ascii="Calibri" w:cs="Calibri" w:eastAsia="Calibri" w:hAnsi="Calibri"/>
          <w:sz w:val="22"/>
          <w:szCs w:val="22"/>
        </w:rPr>
        <w:t xml:space="preserve">Two further principles — beneficence and non-maleficence — oblige healthcare providers to act in a patient's best interest while avoiding harm. These obligations are complicated, however, when resources are scarce. The fair allocation of organs, vaccines, or intensive care beds requires transparent criteria; without them, decisions risk becoming arbitrary or discriminatory. Medical professionals must also uphold medical confidentiality, ensuring that sensitive health information is never disclosed without a patient's explicit approval.</w:t>
      </w:r>
    </w:p>
    <w:p>
      <w:pPr>
        <w:spacing w:after="200"/>
        <w:jc w:val="both"/>
      </w:pPr>
      <w:r>
        <w:rPr>
          <w:rFonts w:ascii="Calibri" w:cs="Calibri" w:eastAsia="Calibri" w:hAnsi="Calibri"/>
          <w:sz w:val="22"/>
          <w:szCs w:val="22"/>
        </w:rPr>
        <w:t xml:space="preserve">Among the most contentious debates in bioethics is euthanasia — the deliberate ending of a life to relieve suffering. Proponents argue that respect patient autonomy demands that individuals facing terminal illness be given control over the timing and manner of their death. Critics, however, fear that legalising euthanasia could erode trust in healthcare and expose vulnerable patients to pressure. A related concern is the use of a placebo in clinical research: giving patients a dummy treatment without disclosure raises questions about honesty and consent.</w:t>
      </w:r>
    </w:p>
    <w:p>
      <w:pPr>
        <w:spacing w:after="200"/>
        <w:jc w:val="both"/>
      </w:pPr>
      <w:r>
        <w:rPr>
          <w:rFonts w:ascii="Calibri" w:cs="Calibri" w:eastAsia="Calibri" w:hAnsi="Calibri"/>
          <w:sz w:val="22"/>
          <w:szCs w:val="22"/>
        </w:rPr>
        <w:t xml:space="preserve">Finally, bioethicists warn against paternalism — the tendency of clinicians to override patient preferences on the grounds that they know best. Although well-intentioned, paternalistic attitudes can silence patient voices and undermine dignity. Healthcare systems that challenge paternalistic practices and actively allocate scarce medical resources through inclusive deliberation are better positioned to navigate end-of-life decisions fairly and compassionately, earning the trust of patients and communities alike.</w:t>
      </w:r>
    </w:p>
    <w:p>
      <w:r>
        <w:br w:type="page"/>
      </w:r>
    </w:p>
    <w:p>
      <w:pPr>
        <w:spacing w:after="80"/>
      </w:pPr>
      <w:r>
        <w:rPr>
          <w:rFonts w:ascii="Calibri" w:cs="Calibri" w:eastAsia="Calibri" w:hAnsi="Calibri"/>
          <w:b/>
          <w:bCs/>
          <w:color w:val="6B7280"/>
          <w:sz w:val="20"/>
          <w:szCs w:val="20"/>
        </w:rPr>
        <w:t xml:space="preserve">B3-T54</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54. AI Ethics &amp; the Future of Work</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Artificial intelligence is transforming the world of work at a pace that raises urgent ethical questions. Automation is already eliminating routine tasks across manufacturing, logistics, and even professional services, creating the risk of displacement for millions of workers who lack the skills to transition into emerging roles. While proponents argue that technology ultimately creates more jobs than it destroys, critics call for stronger policies to mitigate job displacement and provide meaningful retraining pathways for those affected.</w:t>
      </w:r>
    </w:p>
    <w:p>
      <w:pPr>
        <w:spacing w:after="200"/>
        <w:jc w:val="both"/>
      </w:pPr>
      <w:r>
        <w:rPr>
          <w:rFonts w:ascii="Calibri" w:cs="Calibri" w:eastAsia="Calibri" w:hAnsi="Calibri"/>
          <w:sz w:val="22"/>
          <w:szCs w:val="22"/>
        </w:rPr>
        <w:t xml:space="preserve">A second concern is bias embedded in AI systems. When training data reflects historical inequalities, algorithmic decision-making in hiring, lending, and criminal justice can perpetuate discrimination against marginalised groups. Organisations must therefore embed fairness in algorithms from the design stage, rather than attempting to correct discriminatory outputs after deployment. This requires diverse development teams, rigorous testing, and a genuine commitment to transparency about how models reach their conclusions.</w:t>
      </w:r>
    </w:p>
    <w:p>
      <w:pPr>
        <w:spacing w:after="200"/>
        <w:jc w:val="both"/>
      </w:pPr>
      <w:r>
        <w:rPr>
          <w:rFonts w:ascii="Calibri" w:cs="Calibri" w:eastAsia="Calibri" w:hAnsi="Calibri"/>
          <w:sz w:val="22"/>
          <w:szCs w:val="22"/>
        </w:rPr>
        <w:t xml:space="preserve">As AI systems gain access to vast personal data sets, surveillance and privacy risks intensify. Employers deploying AI tools to monitor productivity, or governments using facial recognition in public spaces, must grapple with whether such practices respect citizens' digital rights. Advocates argue the state and corporations must protect digital rights through robust legislation, while researchers emphasise that individuals must give meaningful consent before their data is harvested or used to profile them.</w:t>
      </w:r>
    </w:p>
    <w:p>
      <w:pPr>
        <w:spacing w:after="200"/>
        <w:jc w:val="both"/>
      </w:pPr>
      <w:r>
        <w:rPr>
          <w:rFonts w:ascii="Calibri" w:cs="Calibri" w:eastAsia="Calibri" w:hAnsi="Calibri"/>
          <w:sz w:val="22"/>
          <w:szCs w:val="22"/>
        </w:rPr>
        <w:t xml:space="preserve">Underlying all these debates is the question of accountability: when an AI system causes harm, who is responsible — the developer, the deploying organisation, or the algorithm itself? Without clear lines of human oversight, errors can cascade unchecked. Frameworks that ensure algorithmic accountability and maintain human oversight of AI are not obstacles to innovation; they are the safeguards that allow technology to serve humanity rather than dominate it.</w:t>
      </w:r>
    </w:p>
    <w:p>
      <w:r>
        <w:br w:type="page"/>
      </w:r>
    </w:p>
    <w:p>
      <w:pPr>
        <w:spacing w:after="80"/>
      </w:pPr>
      <w:r>
        <w:rPr>
          <w:rFonts w:ascii="Calibri" w:cs="Calibri" w:eastAsia="Calibri" w:hAnsi="Calibri"/>
          <w:b/>
          <w:bCs/>
          <w:color w:val="6B7280"/>
          <w:sz w:val="20"/>
          <w:szCs w:val="20"/>
        </w:rPr>
        <w:t xml:space="preserve">B3-T55</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55. Human Rights &amp; Global Justice</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The principle of universality lies at the heart of international human rights law: every person, regardless of nationality, possesses inherent rights that no state may legitimately strip away. These non-derogable rights — including the prohibition of torture and genocide — cannot be suspended even during states of emergency. Yet the doctrine of sovereignty has repeatedly been invoked to shield governments from external scrutiny, creating a fundamental tension between national authority and global accountability.</w:t>
      </w:r>
    </w:p>
    <w:p>
      <w:pPr>
        <w:spacing w:after="200"/>
        <w:jc w:val="both"/>
      </w:pPr>
      <w:r>
        <w:rPr>
          <w:rFonts w:ascii="Calibri" w:cs="Calibri" w:eastAsia="Calibri" w:hAnsi="Calibri"/>
          <w:sz w:val="22"/>
          <w:szCs w:val="22"/>
        </w:rPr>
        <w:t xml:space="preserve">Where governments fail their citizens, international mechanisms must fill the void. Tribunal bodies such as the International Criminal Court exist precisely to hold perpetrators accountable when domestic judiciaries are unwilling or unable to act. Victims of mass atrocities frequently pursue reparation as both a material remedy and a symbolic acknowledgement of the harm they have suffered. Without such remedies, impunity becomes normalised, emboldening future perpetrators.</w:t>
      </w:r>
    </w:p>
    <w:p>
      <w:pPr>
        <w:spacing w:after="200"/>
        <w:jc w:val="both"/>
      </w:pPr>
      <w:r>
        <w:rPr>
          <w:rFonts w:ascii="Calibri" w:cs="Calibri" w:eastAsia="Calibri" w:hAnsi="Calibri"/>
          <w:sz w:val="22"/>
          <w:szCs w:val="22"/>
        </w:rPr>
        <w:t xml:space="preserve">Civil liberties — the freedoms of expression, assembly, and belief — are among the first casualties when authoritarian regimes consolidate power. Minorities and dissidents face persecution ranging from arbitrary detention to forced displacement. In such contexts, advocacy organisations play a vital role: they document abuses, amplify victims' voices, and uphold universal human rights norms in forums that governments would prefer to ignore. Their work is indispensable to the wider project of global justice.</w:t>
      </w:r>
    </w:p>
    <w:p>
      <w:pPr>
        <w:spacing w:after="200"/>
        <w:jc w:val="both"/>
      </w:pPr>
      <w:r>
        <w:rPr>
          <w:rFonts w:ascii="Calibri" w:cs="Calibri" w:eastAsia="Calibri" w:hAnsi="Calibri"/>
          <w:sz w:val="22"/>
          <w:szCs w:val="22"/>
        </w:rPr>
        <w:t xml:space="preserve">Critics argue that powerful states selectively invoke human rights discourse to advance geopolitical interests, while strategically choosing to challenge state sovereignty only when it suits them. This double standard undermines the legitimacy of international institutions. Yet the alternative — abandoning the framework entirely — would leave victims of atrocities with no recourse at all. The challenge for the twenty-first century is to seek reparations for injustice and combat impunity for atrocities through institutions that are genuinely universal, not merely instruments of the powerful.</w:t>
      </w:r>
    </w:p>
    <w:p>
      <w:r>
        <w:br w:type="page"/>
      </w:r>
    </w:p>
    <w:p>
      <w:pPr>
        <w:spacing w:after="80"/>
      </w:pPr>
      <w:r>
        <w:rPr>
          <w:rFonts w:ascii="Calibri" w:cs="Calibri" w:eastAsia="Calibri" w:hAnsi="Calibri"/>
          <w:b/>
          <w:bCs/>
          <w:color w:val="6B7280"/>
          <w:sz w:val="20"/>
          <w:szCs w:val="20"/>
        </w:rPr>
        <w:t xml:space="preserve">B3-T56</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56. War, Peace &amp; Conflict Resolution</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The pursuit of diplomacy has long been humanity's primary tool for managing conflict short of war. Yet when diplomatic channels collapse, states have historically relied on deterrence — the threat of overwhelming retaliation — to prevent adversaries from attacking. This logic underpins nuclear doctrine and conventional military postures alike, though critics warn that deterrence is inherently fragile and may ultimately fail at catastrophic cost.</w:t>
      </w:r>
    </w:p>
    <w:p>
      <w:pPr>
        <w:spacing w:after="200"/>
        <w:jc w:val="both"/>
      </w:pPr>
      <w:r>
        <w:rPr>
          <w:rFonts w:ascii="Calibri" w:cs="Calibri" w:eastAsia="Calibri" w:hAnsi="Calibri"/>
          <w:sz w:val="22"/>
          <w:szCs w:val="22"/>
        </w:rPr>
        <w:t xml:space="preserve">When fighting does break out, international law demands that parties negotiate a lasting ceasefire as early as possible to limit civilian suffering. A ceasefire may be brokered directly between belligerents or facilitated through mediation by a neutral third party. The ethical framework governing armed conflict rests on the concept of proportionality: the harm inflicted must not exceed what is militarily necessary, and civilians must never be deliberately targeted. Those who challenge disproportionate use of force serve a vital role in holding warring parties to account.</w:t>
      </w:r>
    </w:p>
    <w:p>
      <w:pPr>
        <w:spacing w:after="200"/>
        <w:jc w:val="both"/>
      </w:pPr>
      <w:r>
        <w:rPr>
          <w:rFonts w:ascii="Calibri" w:cs="Calibri" w:eastAsia="Calibri" w:hAnsi="Calibri"/>
          <w:sz w:val="22"/>
          <w:szCs w:val="22"/>
        </w:rPr>
        <w:t xml:space="preserve">Modern conflicts are frequently characterised by asymmetric warfare, in which a technologically inferior force employs unconventional tactics against a conventionally stronger opponent. Such conflicts blur the line between combatants and civilians, making it harder to uphold humanitarian principles on the battlefield. Progress towards disarmament has meanwhile stalled, as states weigh the security risks of reducing military capabilities against the long-term benefits of a less militarised world.</w:t>
      </w:r>
    </w:p>
    <w:p>
      <w:pPr>
        <w:spacing w:after="200"/>
        <w:jc w:val="both"/>
      </w:pPr>
      <w:r>
        <w:rPr>
          <w:rFonts w:ascii="Calibri" w:cs="Calibri" w:eastAsia="Calibri" w:hAnsi="Calibri"/>
          <w:sz w:val="22"/>
          <w:szCs w:val="22"/>
        </w:rPr>
        <w:t xml:space="preserve">After the guns fall silent, the harder work of reconciliation begins. Fractured societies must find ways to address grievances, restore trust, and build durable institutions if they are to promote post-conflict reconciliation and avoid relapse into violence. Crucially, sovereignty must not be invoked as an excuse to obstruct peace processes from outside. When parties commit to a pursue diplomatic resolution, sustainable peace becomes possible — not merely an absence of war, but a genuine transformation of relationships between former enemies.</w:t>
      </w:r>
    </w:p>
    <w:p>
      <w:r>
        <w:br w:type="page"/>
      </w:r>
    </w:p>
    <w:p>
      <w:pPr>
        <w:spacing w:after="80"/>
      </w:pPr>
      <w:r>
        <w:rPr>
          <w:rFonts w:ascii="Calibri" w:cs="Calibri" w:eastAsia="Calibri" w:hAnsi="Calibri"/>
          <w:b/>
          <w:bCs/>
          <w:color w:val="6B7280"/>
          <w:sz w:val="20"/>
          <w:szCs w:val="20"/>
        </w:rPr>
        <w:t xml:space="preserve">B3-T57</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57. The Ethics of Technology</w:t>
      </w:r>
    </w:p>
    <w:p>
      <w:pPr>
        <w:spacing w:after="240"/>
      </w:pPr>
      <w:r>
        <w:rPr>
          <w:rFonts w:ascii="Calibri" w:cs="Calibri" w:eastAsia="Calibri" w:hAnsi="Calibri"/>
          <w:i/>
          <w:iCs/>
          <w:color w:val="9CA3AF"/>
          <w:sz w:val="18"/>
          <w:szCs w:val="18"/>
        </w:rPr>
        <w:t xml:space="preserve">222 words</w:t>
      </w:r>
    </w:p>
    <w:p>
      <w:pPr>
        <w:spacing w:after="200"/>
        <w:jc w:val="both"/>
      </w:pPr>
      <w:r>
        <w:rPr>
          <w:rFonts w:ascii="Calibri" w:cs="Calibri" w:eastAsia="Calibri" w:hAnsi="Calibri"/>
          <w:sz w:val="22"/>
          <w:szCs w:val="22"/>
        </w:rPr>
        <w:t xml:space="preserve">The digital age has brought extraordinary convenience, yet it has also generated profound ethical questions about power, rights, and human dignity. Central among these is privacy — the individual's right to control personal information. In an era of datafication, where almost every human action is converted into monetisable data, this right is under constant pressure. Surveillance systems deployed by both states and corporations monitor behaviour at a scale previously unimaginable, raising urgent questions about who holds accountability for protecting citizens.</w:t>
      </w:r>
    </w:p>
    <w:p>
      <w:pPr>
        <w:spacing w:after="200"/>
        <w:jc w:val="both"/>
      </w:pPr>
      <w:r>
        <w:rPr>
          <w:rFonts w:ascii="Calibri" w:cs="Calibri" w:eastAsia="Calibri" w:hAnsi="Calibri"/>
          <w:sz w:val="22"/>
          <w:szCs w:val="22"/>
        </w:rPr>
        <w:t xml:space="preserve">A related concern is autonomy — the capacity to make free, informed choices without undue external influence. Algorithmic systems increasingly shape what people read, buy, and believe, often without their knowledge or consent. This silent form of manipulation undermines self-determination in ways that are difficult to detect or challenge. Critics argue that without meaningful transparency about how these systems operate, users cannot meaningfully protect data privacy or exercise genuine agency over their own lives.</w:t>
      </w:r>
    </w:p>
    <w:p>
      <w:pPr>
        <w:spacing w:after="200"/>
        <w:jc w:val="both"/>
      </w:pPr>
      <w:r>
        <w:rPr>
          <w:rFonts w:ascii="Calibri" w:cs="Calibri" w:eastAsia="Calibri" w:hAnsi="Calibri"/>
          <w:sz w:val="22"/>
          <w:szCs w:val="22"/>
        </w:rPr>
        <w:t xml:space="preserve">A further ethical blind spot is the digital divide — the gap between those with reliable access to technology and those without. Techno-solutionism, the belief that technology alone can resolve complex social problems, often overlooks this divide. Policymakers who fail to challenge techno-solutionist thinking risk designing interventions that deepen inequality rather than reduce it. Genuine progress requires efforts to bridge the digital divide alongside measures to ensure transparency in tech development.</w:t>
      </w:r>
    </w:p>
    <w:p>
      <w:pPr>
        <w:spacing w:after="200"/>
        <w:jc w:val="both"/>
      </w:pPr>
      <w:r>
        <w:rPr>
          <w:rFonts w:ascii="Calibri" w:cs="Calibri" w:eastAsia="Calibri" w:hAnsi="Calibri"/>
          <w:sz w:val="22"/>
          <w:szCs w:val="22"/>
        </w:rPr>
        <w:t xml:space="preserve">Ultimately, ethical technology requires more than technical safeguards — it demands structural commitments. Platforms and governments must resist algorithmic manipulation by building independent oversight mechanisms. They must treat user consent not as a legal formality but as a genuine ethical obligation. Without such commitments, the technologies designed to connect and empower humanity risk becoming instruments of control, widening the very inequalities they promised to resolve.</w:t>
      </w:r>
    </w:p>
    <w:p>
      <w:r>
        <w:br w:type="page"/>
      </w:r>
    </w:p>
    <w:p>
      <w:pPr>
        <w:spacing w:after="80"/>
      </w:pPr>
      <w:r>
        <w:rPr>
          <w:rFonts w:ascii="Calibri" w:cs="Calibri" w:eastAsia="Calibri" w:hAnsi="Calibri"/>
          <w:b/>
          <w:bCs/>
          <w:color w:val="6B7280"/>
          <w:sz w:val="20"/>
          <w:szCs w:val="20"/>
        </w:rPr>
        <w:t xml:space="preserve">B3-T58</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58. Climate Change &amp; Global Responsibility</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Climate change is no longer a distant scientific warning — it is a present reality reshaping ecosystems, economies, and lives across the globe. Scientists widely agree that emissions of greenhouse gases from human activity are driving temperatures toward critical tipping points, beyond which some changes become irreversible. The urgency of the crisis has renewed debate about whether current policy frameworks are adequate to prevent irreversible tipping points and protect the planet's long-term stability.</w:t>
      </w:r>
    </w:p>
    <w:p>
      <w:pPr>
        <w:spacing w:after="200"/>
        <w:jc w:val="both"/>
      </w:pPr>
      <w:r>
        <w:rPr>
          <w:rFonts w:ascii="Calibri" w:cs="Calibri" w:eastAsia="Calibri" w:hAnsi="Calibri"/>
          <w:sz w:val="22"/>
          <w:szCs w:val="22"/>
        </w:rPr>
        <w:t xml:space="preserve">Two broad strategies define the international response: mitigation — reducing greenhouse gas outputs to slow warming — and adaptation — adjusting systems and behaviours to cope with changes already underway. Most climate scientists argue that neither strategy alone is sufficient. To achieve carbon neutrality and reach net zero within this century, nations must simultaneously cut emissions and build adaptive capacity, treating both imperatives with equal seriousness.</w:t>
      </w:r>
    </w:p>
    <w:p>
      <w:pPr>
        <w:spacing w:after="200"/>
        <w:jc w:val="both"/>
      </w:pPr>
      <w:r>
        <w:rPr>
          <w:rFonts w:ascii="Calibri" w:cs="Calibri" w:eastAsia="Calibri" w:hAnsi="Calibri"/>
          <w:sz w:val="22"/>
          <w:szCs w:val="22"/>
        </w:rPr>
        <w:t xml:space="preserve">A major ethical fault line runs through the global debate: who bears responsibility? Industrialised nations, historically the largest consumers of fossil fuels, created the bulk of accumulated atmospheric carbon. Yet communities in the Global South — often characterised by high vulnerability to climate disruption — suffer disproportionate consequences. This injustice underpins calls to hold high-emitters accountable and to accelerate the just transition away from carbon-intensive economies in ways that protect workers and communities.</w:t>
      </w:r>
    </w:p>
    <w:p>
      <w:pPr>
        <w:spacing w:after="200"/>
        <w:jc w:val="both"/>
      </w:pPr>
      <w:r>
        <w:rPr>
          <w:rFonts w:ascii="Calibri" w:cs="Calibri" w:eastAsia="Calibri" w:hAnsi="Calibri"/>
          <w:sz w:val="22"/>
          <w:szCs w:val="22"/>
        </w:rPr>
        <w:t xml:space="preserve">Ultimately, the climate crisis exposes the limits of purely national thinking. Greenhouse gases respect no borders; solutions must be equally boundless. Progress demands that nations phase out fossil fuels on accelerated timelines, fund climate adaptation in vulnerable regions, and build governance structures that distribute both burdens and benefits equitably. Without such collective commitment, pledges of net zero and carbon neutrality risk becoming empty political theatre rather than genuine turning points for the planet.</w:t>
      </w:r>
    </w:p>
    <w:p>
      <w:r>
        <w:br w:type="page"/>
      </w:r>
    </w:p>
    <w:p>
      <w:pPr>
        <w:spacing w:after="80"/>
      </w:pPr>
      <w:r>
        <w:rPr>
          <w:rFonts w:ascii="Calibri" w:cs="Calibri" w:eastAsia="Calibri" w:hAnsi="Calibri"/>
          <w:b/>
          <w:bCs/>
          <w:color w:val="6B7280"/>
          <w:sz w:val="20"/>
          <w:szCs w:val="20"/>
        </w:rPr>
        <w:t xml:space="preserve">B3-T59</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59. The Future of Humanity</w:t>
      </w:r>
    </w:p>
    <w:p>
      <w:pPr>
        <w:spacing w:after="240"/>
      </w:pPr>
      <w:r>
        <w:rPr>
          <w:rFonts w:ascii="Calibri" w:cs="Calibri" w:eastAsia="Calibri" w:hAnsi="Calibri"/>
          <w:i/>
          <w:iCs/>
          <w:color w:val="9CA3AF"/>
          <w:sz w:val="18"/>
          <w:szCs w:val="18"/>
        </w:rPr>
        <w:t xml:space="preserve">224 words</w:t>
      </w:r>
    </w:p>
    <w:p>
      <w:pPr>
        <w:spacing w:after="200"/>
        <w:jc w:val="both"/>
      </w:pPr>
      <w:r>
        <w:rPr>
          <w:rFonts w:ascii="Calibri" w:cs="Calibri" w:eastAsia="Calibri" w:hAnsi="Calibri"/>
          <w:sz w:val="22"/>
          <w:szCs w:val="22"/>
        </w:rPr>
        <w:t xml:space="preserve">Advances in biotechnology, artificial intelligence, and neuroscience have made the speculative futures once confined to fiction increasingly plausible. The philosophy of transhumanism holds that humanity can and should transcend its biological limits through technological enhancement — improving cognition, extending longevity, and eventually dissolving the boundary between human and machine. Proponents argue that such progress represents the next stage of human evolution, a deliberate redesign of our own nature.</w:t>
      </w:r>
    </w:p>
    <w:p>
      <w:pPr>
        <w:spacing w:after="200"/>
        <w:jc w:val="both"/>
      </w:pPr>
      <w:r>
        <w:rPr>
          <w:rFonts w:ascii="Calibri" w:cs="Calibri" w:eastAsia="Calibri" w:hAnsi="Calibri"/>
          <w:sz w:val="22"/>
          <w:szCs w:val="22"/>
        </w:rPr>
        <w:t xml:space="preserve">Critics, however, warn that we must mitigate existential risks before embracing radical transformation. The concept of posthumanism challenges the assumption that the human form deserves preservation, yet it raises unsettling questions about consciousness and identity: if the mind is fundamentally altered, does the self persist? Those who challenge posthumanist assumptions argue that what makes us human — our vulnerability, mortality, and embodied experience — cannot be discarded without profound ethical cost.</w:t>
      </w:r>
    </w:p>
    <w:p>
      <w:pPr>
        <w:spacing w:after="200"/>
        <w:jc w:val="both"/>
      </w:pPr>
      <w:r>
        <w:rPr>
          <w:rFonts w:ascii="Calibri" w:cs="Calibri" w:eastAsia="Calibri" w:hAnsi="Calibri"/>
          <w:sz w:val="22"/>
          <w:szCs w:val="22"/>
        </w:rPr>
        <w:t xml:space="preserve">The idea of a technological singularity — a point at which artificial intelligence surpasses human intelligence irreversibly — intensifies these debates. Some envision a post-scarcity utopia in which disease, poverty, and suffering are eliminated; others foresee a dystopia in which autonomous systems render human agency obsolete. To navigate transhumanist debates responsibly, societies must grapple with questions of access, consent, and the distribution of enhancement technologies.</w:t>
      </w:r>
    </w:p>
    <w:p>
      <w:pPr>
        <w:spacing w:after="200"/>
        <w:jc w:val="both"/>
      </w:pPr>
      <w:r>
        <w:rPr>
          <w:rFonts w:ascii="Calibri" w:cs="Calibri" w:eastAsia="Calibri" w:hAnsi="Calibri"/>
          <w:sz w:val="22"/>
          <w:szCs w:val="22"/>
        </w:rPr>
        <w:t xml:space="preserve">Ultimately, to enhance human cognitive capacity sustainably, we must ensure that technological power does not become the privilege of a few. The task is not to reject innovation but to imagine alternative futures in which enhancement is guided by justice, dignity, and a commitment to what humanity collectively values. The future of humanity may depend less on our technological capabilities than on our ethical wisdom to deploy them well.</w:t>
      </w:r>
    </w:p>
    <w:p>
      <w:r>
        <w:br w:type="page"/>
      </w:r>
    </w:p>
    <w:p>
      <w:pPr>
        <w:spacing w:after="80"/>
      </w:pPr>
      <w:r>
        <w:rPr>
          <w:rFonts w:ascii="Calibri" w:cs="Calibri" w:eastAsia="Calibri" w:hAnsi="Calibri"/>
          <w:b/>
          <w:bCs/>
          <w:color w:val="6B7280"/>
          <w:sz w:val="20"/>
          <w:szCs w:val="20"/>
        </w:rPr>
        <w:t xml:space="preserve">B3-T60</w:t>
      </w:r>
      <w:r>
        <w:rPr>
          <w:rFonts w:ascii="Calibri" w:cs="Calibri" w:eastAsia="Calibri" w:hAnsi="Calibri"/>
          <w:color w:val="9CA3AF"/>
          <w:sz w:val="20"/>
          <w:szCs w:val="20"/>
        </w:rPr>
        <w:t xml:space="preserve">  ·  C1-C2</w:t>
      </w:r>
    </w:p>
    <w:p>
      <w:pPr>
        <w:spacing w:after="120"/>
      </w:pPr>
      <w:r>
        <w:rPr>
          <w:rFonts w:ascii="Calibri" w:cs="Calibri" w:eastAsia="Calibri" w:hAnsi="Calibri"/>
          <w:b/>
          <w:bCs/>
          <w:sz w:val="28"/>
          <w:szCs w:val="28"/>
        </w:rPr>
        <w:t xml:space="preserve">60. Values, Choices &amp; the Good Life</w:t>
      </w:r>
    </w:p>
    <w:p>
      <w:pPr>
        <w:spacing w:after="240"/>
      </w:pPr>
      <w:r>
        <w:rPr>
          <w:rFonts w:ascii="Calibri" w:cs="Calibri" w:eastAsia="Calibri" w:hAnsi="Calibri"/>
          <w:i/>
          <w:iCs/>
          <w:color w:val="9CA3AF"/>
          <w:sz w:val="18"/>
          <w:szCs w:val="18"/>
        </w:rPr>
        <w:t xml:space="preserve">221 words</w:t>
      </w:r>
    </w:p>
    <w:p>
      <w:pPr>
        <w:spacing w:after="200"/>
        <w:jc w:val="both"/>
      </w:pPr>
      <w:r>
        <w:rPr>
          <w:rFonts w:ascii="Calibri" w:cs="Calibri" w:eastAsia="Calibri" w:hAnsi="Calibri"/>
          <w:sz w:val="22"/>
          <w:szCs w:val="22"/>
        </w:rPr>
        <w:t xml:space="preserve">What constitutes a good life? Philosophers have wrestled with this question for millennia. The ancient Greek ideal of flourishing — *eudaimonia* — held that a truly good life consists not in pleasure alone but in the full exercise of one's capacities in accordance with virtue. This tradition stands in sharp contrast to hedonism, the view that pleasure and the avoidance of pain are the ultimate measures of a well-lived existence. Those who resist hedonistic impulses often find that delayed gratification and moral discipline yield a richer, more enduring sense of satisfaction.</w:t>
      </w:r>
    </w:p>
    <w:p>
      <w:pPr>
        <w:spacing w:after="200"/>
        <w:jc w:val="both"/>
      </w:pPr>
      <w:r>
        <w:rPr>
          <w:rFonts w:ascii="Calibri" w:cs="Calibri" w:eastAsia="Calibri" w:hAnsi="Calibri"/>
          <w:sz w:val="22"/>
          <w:szCs w:val="22"/>
        </w:rPr>
        <w:t xml:space="preserve">Central to contemporary ethical thought is the concept of agency — the capacity to act intentionally and bear responsibility for one's choices. When we exercise moral agency, we do more than follow instinct or social convention; we choose who we wish to become. This is closely linked to authenticity: living in alignment with one's deepest values rather than conforming to external expectations. To define one's own conception of flourishing is, in this sense, both a philosophical act and a deeply personal one.</w:t>
      </w:r>
    </w:p>
    <w:p>
      <w:pPr>
        <w:spacing w:after="200"/>
        <w:jc w:val="both"/>
      </w:pPr>
      <w:r>
        <w:rPr>
          <w:rFonts w:ascii="Calibri" w:cs="Calibri" w:eastAsia="Calibri" w:hAnsi="Calibri"/>
          <w:sz w:val="22"/>
          <w:szCs w:val="22"/>
        </w:rPr>
        <w:t xml:space="preserve">Purpose and meaning are distinct but interrelated concepts. One may have a clear vocation — a calling that structures one's time and identity — yet still struggle to find deeper meaning in one's work. Conversely, meaning can arise even in the absence of a grand aspiration if one is fully present and engaged. Those who pursue a life of purpose tend to report higher levels of wellbeing, not because they are free from difficulty, but because their hardships feel connected to something larger than themselves.</w:t>
      </w:r>
    </w:p>
    <w:p>
      <w:pPr>
        <w:spacing w:after="200"/>
        <w:jc w:val="both"/>
      </w:pPr>
      <w:r>
        <w:rPr>
          <w:rFonts w:ascii="Calibri" w:cs="Calibri" w:eastAsia="Calibri" w:hAnsi="Calibri"/>
          <w:sz w:val="22"/>
          <w:szCs w:val="22"/>
        </w:rPr>
        <w:t xml:space="preserve">Ultimately, the good life is not a destination but a practice. To cultivate personal virtues such as courage, compassion, and integrity is a lifelong project requiring sustained effort and honest self-examination. Fulfilment does not come from having achieved every aspiration but from the quality of attention and commitment we bring to each choice. A life rich in meaning is built not through grand gestures but through the quiet discipline of living well, day after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2026-06-15T05:43:46.982Z</dcterms:created>
  <dcterms:modified xsi:type="dcterms:W3CDTF">2026-06-15T05:43:46.982Z</dcterms:modified>
</cp:coreProperties>
</file>

<file path=docProps/custom.xml><?xml version="1.0" encoding="utf-8"?>
<Properties xmlns="http://schemas.openxmlformats.org/officeDocument/2006/custom-properties" xmlns:vt="http://schemas.openxmlformats.org/officeDocument/2006/docPropsVTypes"/>
</file>