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 / Third-Party Agreement Index</w:t>
      </w:r>
    </w:p>
    <w:p>
      <w:r>
        <w:t>Organization: ITIO Innovex Pvt Ltd</w:t>
      </w:r>
    </w:p>
    <w:p>
      <w:r>
        <w:t>Product: Documantra</w:t>
      </w:r>
    </w:p>
    <w:p>
      <w:r>
        <w:t>Date: 30 June 2026</w:t>
      </w:r>
    </w:p>
    <w:p>
      <w:r>
        <w:t>V-Sign ESP integration: ASP ID configured in production environment; executed agreement maintained by ITIO Innovex legal/compliance team.</w:t>
      </w:r>
    </w:p>
    <w:p>
      <w:r>
        <w:t>Surepass DigiLocker: API agreement for identity verification; maintained by ITIO Innovex vendor management.</w:t>
      </w:r>
    </w:p>
    <w:p>
      <w:r>
        <w:t>NSDL licensed ESP agreement: attach executed copy from legal records if applicable to your licensing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