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Information Security Policy Summary — Documantra ASP</w:t>
      </w:r>
    </w:p>
    <w:p>
      <w:r>
        <w:t>Organization: ITIO Innovex Pvt Ltd</w:t>
      </w:r>
    </w:p>
    <w:p>
      <w:r>
        <w:t>Product: Documantra</w:t>
      </w:r>
    </w:p>
    <w:p>
      <w:r>
        <w:t>Date: 30 June 2026</w:t>
      </w:r>
    </w:p>
    <w:p>
      <w:r>
        <w:t>This document summarizes information security controls implemented for the Documantra ASP platform.</w:t>
      </w:r>
    </w:p>
    <w:p>
      <w:r>
        <w:t>Transport security: HTTPS required (https://esp.documantra.in).</w:t>
      </w:r>
    </w:p>
    <w:p>
      <w:r>
        <w:t>Password policy: minimum 8 characters; uppercase, lowercase, number, and special character required.</w:t>
      </w:r>
    </w:p>
    <w:p>
      <w:r>
        <w:t>Session idle timeout: 8 hours.</w:t>
      </w:r>
    </w:p>
    <w:p>
      <w:r>
        <w:t>Maximum concurrent sessions per user: 5.</w:t>
      </w:r>
    </w:p>
    <w:p>
      <w:r>
        <w:t>Two-factor authentication (TOTP): available for users and admin; enforcement configurable via environment policy.</w:t>
      </w:r>
    </w:p>
    <w:p>
      <w:r>
        <w:t>Input validation on profile and organization metadata; SSRF guard on logo URL ingestion.</w:t>
      </w:r>
    </w:p>
    <w:p>
      <w:r>
        <w:t>Security headers on user and admin SPAs: HSTS, CSP, X-Frame-Options, X-Content-Type-Options.</w:t>
      </w:r>
    </w:p>
    <w:p>
      <w:r>
        <w:t>Audit logging: envelope actions stored in MongoDB audittrails collection.</w:t>
      </w:r>
    </w:p>
    <w:p>
      <w:r>
        <w:t>Secrets and credentials stored in server environment files; database not exposed publicly.</w:t>
      </w:r>
    </w:p>
    <w:p>
      <w:r>
        <w:t>VAPT remediation completed June 2026 with retest evidence maintained.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