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Arial" w:hAnsi="Arial"/>
          <w:b/>
          <w:color w:val="0F2A4A"/>
          <w:sz w:val="40"/>
        </w:rPr>
        <w:t>MERODOKAN SALOON &amp; SPA MANAGEMENT SYSTEM</w:t>
      </w:r>
    </w:p>
    <w:p>
      <w:pPr>
        <w:spacing w:before="0" w:after="280"/>
        <w:jc w:val="center"/>
      </w:pPr>
      <w:r>
        <w:rPr>
          <w:rFonts w:ascii="Arial" w:hAnsi="Arial"/>
          <w:b/>
          <w:color w:val="0E7490"/>
          <w:sz w:val="22"/>
        </w:rPr>
        <w:t>Project Technical Documentation, Operational Workflows, Handover Sign-Off &amp; AMC Agreement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Document Reference: </w:t>
            </w:r>
            <w:r>
              <w:rPr>
                <w:sz w:val="18"/>
              </w:rPr>
              <w:t>DOC-SALOON-2026-v2.6</w:t>
              <w:br/>
            </w:r>
            <w:r>
              <w:rPr>
                <w:b/>
                <w:sz w:val="18"/>
              </w:rPr>
              <w:t xml:space="preserve">Software Product: </w:t>
            </w:r>
            <w:r>
              <w:rPr>
                <w:sz w:val="18"/>
              </w:rPr>
              <w:t>MeroDokan Saloon &amp; Spa POS (v2.6)</w:t>
              <w:br/>
            </w:r>
            <w:r>
              <w:rPr>
                <w:b/>
                <w:sz w:val="18"/>
              </w:rPr>
              <w:t xml:space="preserve">Architecture: </w:t>
            </w:r>
            <w:r>
              <w:rPr>
                <w:sz w:val="18"/>
              </w:rPr>
              <w:t>100% Offline-First (MS SQL Server)</w:t>
            </w:r>
          </w:p>
        </w:tc>
        <w:tc>
          <w:tcPr>
            <w:tcW w:type="dxa" w:w="489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Target Entity: </w:t>
            </w:r>
            <w:r>
              <w:rPr>
                <w:sz w:val="18"/>
              </w:rPr>
              <w:t>Valued Salon / Spa Enterprise</w:t>
              <w:br/>
            </w:r>
            <w:r>
              <w:rPr>
                <w:b/>
                <w:sz w:val="18"/>
              </w:rPr>
              <w:t xml:space="preserve">Deployment Date: </w:t>
            </w:r>
            <w:r>
              <w:rPr>
                <w:sz w:val="18"/>
              </w:rPr>
              <w:t>September 1, 2026</w:t>
              <w:br/>
            </w:r>
            <w:r>
              <w:rPr>
                <w:b/>
                <w:sz w:val="18"/>
              </w:rPr>
              <w:t xml:space="preserve">Status: </w:t>
            </w:r>
            <w:r>
              <w:rPr>
                <w:sz w:val="18"/>
              </w:rPr>
              <w:t>Installed, Verified &amp; Handed Over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0F2A4A"/>
          <w:sz w:val="26"/>
        </w:rPr>
        <w:t>1. Executive Summary &amp; Solution Architecture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MeroDokan Saloon &amp; Spa Management System is an enterprise desktop Point-of-Sale (POS), Customer Relationship Management (CRM), and resource planning suite engineered specifically for modern beauty salons, hair studios, unisex grooming lounges, cosmetic clinics, and luxury wellness spas. Built with a robust offline-first architecture, the platform guarantees zero counter downtime and instant sub-second billing response during peak hours.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1E293B"/>
          <w:sz w:val="19"/>
        </w:rPr>
        <w:t>100% Offline-First Reliability:</w:t>
      </w:r>
      <w:r>
        <w:rPr>
          <w:rFonts w:ascii="Arial" w:hAnsi="Arial"/>
          <w:color w:val="1E293B"/>
          <w:sz w:val="19"/>
        </w:rPr>
        <w:t xml:space="preserve"> Natively functions with zero internet connection requirement, eliminating cloud latency and downtime risks.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1E293B"/>
          <w:sz w:val="19"/>
        </w:rPr>
        <w:t>Dual-Item Hybrid Billing:</w:t>
      </w:r>
      <w:r>
        <w:rPr>
          <w:rFonts w:ascii="Arial" w:hAnsi="Arial"/>
          <w:color w:val="1E293B"/>
          <w:sz w:val="19"/>
        </w:rPr>
        <w:t xml:space="preserve"> Simultaneously bills salon services and retail take-home cosmetic products on the same invoice.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1E293B"/>
          <w:sz w:val="19"/>
        </w:rPr>
        <w:t>Automated Stylist Commissions:</w:t>
      </w:r>
      <w:r>
        <w:rPr>
          <w:rFonts w:ascii="Arial" w:hAnsi="Arial"/>
          <w:color w:val="1E293B"/>
          <w:sz w:val="19"/>
        </w:rPr>
        <w:t xml:space="preserve"> Automatically calculates service commission % and retail incentives per stylist row on each bill.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1E293B"/>
          <w:sz w:val="19"/>
        </w:rPr>
        <w:t>Visual Appointment Calendar:</w:t>
      </w:r>
      <w:r>
        <w:rPr>
          <w:rFonts w:ascii="Arial" w:hAnsi="Arial"/>
          <w:color w:val="1E293B"/>
          <w:sz w:val="19"/>
        </w:rPr>
        <w:t xml:space="preserve"> Prevents double-booking stylists with real-time clash verification and 1-click POS conversion.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1E293B"/>
          <w:sz w:val="19"/>
        </w:rPr>
        <w:t>Multi-Format Thermal Receipts:</w:t>
      </w:r>
      <w:r>
        <w:rPr>
          <w:rFonts w:ascii="Arial" w:hAnsi="Arial"/>
          <w:color w:val="1E293B"/>
          <w:sz w:val="19"/>
        </w:rPr>
        <w:t xml:space="preserve"> Native ESC/POS printing for 58mm (2-inch) and 80mm (3-inch) receipts plus A4/A5 tax invoices.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1E293B"/>
          <w:sz w:val="19"/>
        </w:rPr>
        <w:t>Data Privacy &amp; Backups:</w:t>
      </w:r>
      <w:r>
        <w:rPr>
          <w:rFonts w:ascii="Arial" w:hAnsi="Arial"/>
          <w:color w:val="1E293B"/>
          <w:sz w:val="19"/>
        </w:rPr>
        <w:t xml:space="preserve"> Automated encrypted daily database backups with 1-click restore protection.</w:t>
      </w:r>
    </w:p>
    <w:p>
      <w:pPr>
        <w:keepNext/>
        <w:spacing w:before="320" w:after="120"/>
      </w:pPr>
      <w:r>
        <w:rPr>
          <w:rFonts w:ascii="Arial" w:hAnsi="Arial"/>
          <w:b/>
          <w:color w:val="0F2A4A"/>
          <w:sz w:val="26"/>
        </w:rPr>
        <w:t>2. Comprehensive Operational Workflows</w:t>
      </w:r>
    </w:p>
    <w:p>
      <w:pPr>
        <w:keepNext/>
        <w:spacing w:before="200" w:after="60"/>
      </w:pPr>
      <w:r>
        <w:rPr>
          <w:rFonts w:ascii="Arial" w:hAnsi="Arial"/>
          <w:b/>
          <w:color w:val="0E7490"/>
          <w:sz w:val="21"/>
        </w:rPr>
        <w:t>2.1 Smart Express POS &amp; Multi-Tender Checkout Workflow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 xml:space="preserve"> Step 1 (Customer Lookup): Cashier enters client mobile number or searches by name; walk-in defaults to 'Walk-in Client'. Available loyalty points and outstanding dues display immediately.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 xml:space="preserve"> Step 2 (Item Selection): Add services from touch categories (Hair, Skin, Spa) and scan retail products via barcode reader.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 xml:space="preserve"> Step 3 (Stylist Allocation): Assign specific stylists to each individual service line item for accurate commission attribution.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 xml:space="preserve"> Step 4 (Discounts &amp; Tender): Apply item-level or overall discounts; choose payment method (Cash, UPI / QR, Card, Split Multi-Tender, or Customer Due/Credit).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 xml:space="preserve"> Step 5 (Settlement &amp; Print): Click 'Save &amp; Print' to dispatch formatted thermal receipt, trigger cash drawer kick-out, and accrue loyalty points.</w:t>
      </w:r>
    </w:p>
    <w:p>
      <w:pPr>
        <w:keepNext/>
        <w:spacing w:before="200" w:after="60"/>
      </w:pPr>
      <w:r>
        <w:rPr>
          <w:rFonts w:ascii="Arial" w:hAnsi="Arial"/>
          <w:b/>
          <w:color w:val="0E7490"/>
          <w:sz w:val="21"/>
        </w:rPr>
        <w:t>2.2 Appointment Booking &amp; Lifecycle Management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 xml:space="preserve"> Step 1 (Booking Creation): Select Customer, Date, Time Slot, Required Services, and Assigned Stylist.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 xml:space="preserve"> Step 2 (Conflict Clash Detection): System dynamically checks stylist schedule; blocks overlapping bookings.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 xml:space="preserve"> Step 3 (Visual Board Tracking): Stylist timeline columns display color-coded status (Scheduled, In-Progress, Completed, Cancelled).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 xml:space="preserve"> Step 4 (1-Click Bill Conversion): Once service concludes, click 'Bill Now' to instantly populate the POS cart with zero re-entry.</w:t>
      </w:r>
    </w:p>
    <w:p>
      <w:pPr>
        <w:keepNext/>
        <w:spacing w:before="200" w:after="60"/>
      </w:pPr>
      <w:r>
        <w:rPr>
          <w:rFonts w:ascii="Arial" w:hAnsi="Arial"/>
          <w:b/>
          <w:color w:val="0E7490"/>
          <w:sz w:val="21"/>
        </w:rPr>
        <w:t>2.3 Staff Management, Attendance &amp; Commission Calculation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 xml:space="preserve"> Step 1 (Roster Setup): Define staff roles (Senior Stylist, Junior Stylist, Beautician, Therapist) with base salaries and commission rates.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 xml:space="preserve"> Step 2 (Daily Attendance): Staff record daily check-in / check-out timestamps and toggle availability status (Available, On Break, Busy).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 xml:space="preserve"> Step 3 (Automated Calculation): Formula computes: Line Service Commission = (Price - Discount) * Commission %. Retail incentives tracked separately.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 xml:space="preserve"> Step 4 (Payroll Reports): 1-Click export of monthly staff commission and productivity summaries.</w:t>
      </w:r>
    </w:p>
    <w:p>
      <w:pPr>
        <w:keepNext/>
        <w:spacing w:before="200" w:after="60"/>
      </w:pPr>
      <w:r>
        <w:rPr>
          <w:rFonts w:ascii="Arial" w:hAnsi="Arial"/>
          <w:b/>
          <w:color w:val="0E7490"/>
          <w:sz w:val="21"/>
        </w:rPr>
        <w:t>2.4 Customer CRM, Dues Ledger &amp; Loyalty Program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 xml:space="preserve"> Captures client profiles, birthdays, anniversaries, and service notes.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 xml:space="preserve"> Loyalty Engine: Accrues points based on bill amount; permits instant redemption as bill discounts.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 xml:space="preserve"> Customer Due Ledger: Tracks unpaid credit balances with dedicated partial/full settlement receipts.</w:t>
      </w:r>
    </w:p>
    <w:p>
      <w:pPr>
        <w:keepNext/>
        <w:spacing w:before="200" w:after="60"/>
      </w:pPr>
      <w:r>
        <w:rPr>
          <w:rFonts w:ascii="Arial" w:hAnsi="Arial"/>
          <w:b/>
          <w:color w:val="0E7490"/>
          <w:sz w:val="21"/>
        </w:rPr>
        <w:t>2.5 Inventory, Inward Purchase &amp; Daily Stock Ledger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 xml:space="preserve"> Inward purchase orders logged with supplier invoice number, batch details, expiry date, and landed cost.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 xml:space="preserve"> Automatic separation between Retail Stock (for customer sales) and Back-Bar Stock (internal salon consumption).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 xml:space="preserve"> Daily Stock Ledger Book provides real-time mathematical reconciliation: Closing = Opening + Inward - Sales - Internal Usage.</w:t>
      </w:r>
    </w:p>
    <w:p>
      <w:pPr>
        <w:keepNext/>
        <w:spacing w:before="200" w:after="60"/>
      </w:pPr>
      <w:r>
        <w:rPr>
          <w:rFonts w:ascii="Arial" w:hAnsi="Arial"/>
          <w:b/>
          <w:color w:val="0E7490"/>
          <w:sz w:val="21"/>
        </w:rPr>
        <w:t>2.6 Day-End Cash Register Settlement (EOD Reconciliation)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 xml:space="preserve"> Cashier inputs opening float at morning start.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 xml:space="preserve"> System aggregates daily Cash Inflows + Digital Collections (UPI/Card) - Petty Cash Outflows.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 xml:space="preserve"> Physical currency count is entered; system immediately computes and flags any cash shortage or surplus.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 xml:space="preserve"> Generates official EOD Shift Handover slip for salon manager signing.</w:t>
      </w:r>
    </w:p>
    <w:p>
      <w:pPr>
        <w:keepNext/>
        <w:spacing w:before="320" w:after="120"/>
      </w:pPr>
      <w:r>
        <w:rPr>
          <w:rFonts w:ascii="Arial" w:hAnsi="Arial"/>
          <w:b/>
          <w:color w:val="0F2A4A"/>
          <w:sz w:val="26"/>
        </w:rPr>
        <w:t>3. User Acceptance Testing (UAT) &amp; Deliverables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f2a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Module / Feature</w:t>
            </w:r>
          </w:p>
        </w:tc>
        <w:tc>
          <w:tcPr>
            <w:tcW w:type="dxa" w:w="3264"/>
            <w:shd w:fill="0f2a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Verification &amp; Deliverable Details</w:t>
            </w:r>
          </w:p>
        </w:tc>
        <w:tc>
          <w:tcPr>
            <w:tcW w:type="dxa" w:w="3264"/>
            <w:shd w:fill="0f2a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UAT Status</w:t>
            </w:r>
          </w:p>
        </w:tc>
      </w:tr>
      <w:tr>
        <w:tc>
          <w:tcPr>
            <w:tcW w:type="dxa" w:w="326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Express POS Billing</w:t>
            </w:r>
          </w:p>
        </w:tc>
        <w:tc>
          <w:tcPr>
            <w:tcW w:type="dxa" w:w="326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Dual service &amp; retail items, dynamic stylist split, barcode scanner, discounts, split tenders</w:t>
            </w:r>
          </w:p>
        </w:tc>
        <w:tc>
          <w:tcPr>
            <w:tcW w:type="dxa" w:w="326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66534"/>
                <w:sz w:val="17"/>
              </w:rPr>
              <w:t>PASSED (100%)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Thermal Printing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58mm &amp; 80mm ESC/POS receipt generation with salon logo, tax breakdown, drawer kick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66534"/>
                <w:sz w:val="17"/>
              </w:rPr>
              <w:t>PASSED (100%)</w:t>
            </w:r>
          </w:p>
        </w:tc>
      </w:tr>
      <w:tr>
        <w:tc>
          <w:tcPr>
            <w:tcW w:type="dxa" w:w="326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Appointment Board</w:t>
            </w:r>
          </w:p>
        </w:tc>
        <w:tc>
          <w:tcPr>
            <w:tcW w:type="dxa" w:w="326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Visual timeline calendar, clash conflict prevention, stylist board, 1-click billing</w:t>
            </w:r>
          </w:p>
        </w:tc>
        <w:tc>
          <w:tcPr>
            <w:tcW w:type="dxa" w:w="326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66534"/>
                <w:sz w:val="17"/>
              </w:rPr>
              <w:t>PASSED (100%)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Staff &amp; Commissions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Service % &amp; retail incentive tracking, staff attendance check-in/out, payroll reports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66534"/>
                <w:sz w:val="17"/>
              </w:rPr>
              <w:t>PASSED (100%)</w:t>
            </w:r>
          </w:p>
        </w:tc>
      </w:tr>
      <w:tr>
        <w:tc>
          <w:tcPr>
            <w:tcW w:type="dxa" w:w="326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Stock &amp; Ledger</w:t>
            </w:r>
          </w:p>
        </w:tc>
        <w:tc>
          <w:tcPr>
            <w:tcW w:type="dxa" w:w="326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Purchase orders, supplier master, back-bar usage logs, low stock alerts, Daily Ledger</w:t>
            </w:r>
          </w:p>
        </w:tc>
        <w:tc>
          <w:tcPr>
            <w:tcW w:type="dxa" w:w="326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66534"/>
                <w:sz w:val="17"/>
              </w:rPr>
              <w:t>PASSED (100%)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EOD Settlement &amp; CRM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Day-end cash drawer reconciliation, loyalty points, customer credit ledger, 20+ reports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66534"/>
                <w:sz w:val="17"/>
              </w:rPr>
              <w:t>PASSED (100%)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0F2A4A"/>
          <w:sz w:val="26"/>
        </w:rPr>
        <w:t>4. Official Project Completion &amp; Handover Sign-Off Certificate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This certificate confirms that the MeroDokan Saloon &amp; Spa Management System (v2.6) has been successfully deployed, customized, tested, and commissioned. Full user training and operational documentation have been handed over to the Client.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0f2a4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Delivered By (Service Provider)</w:t>
            </w:r>
          </w:p>
        </w:tc>
        <w:tc>
          <w:tcPr>
            <w:tcW w:type="dxa" w:w="4896"/>
            <w:shd w:fill="0f2a4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Accepted &amp; Confirmed By (Client / Salon)</w:t>
            </w:r>
          </w:p>
        </w:tc>
      </w:tr>
      <w:tr>
        <w:tc>
          <w:tcPr>
            <w:tcW w:type="dxa" w:w="489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Company: MeroDokan Software Solutions</w:t>
              <w:br/>
              <w:t>Authorized Lead: Solutions Lead</w:t>
              <w:br/>
              <w:t>Date: September 1, 2026</w:t>
              <w:br/>
              <w:br/>
              <w:t>Signature: __________________________</w:t>
            </w:r>
          </w:p>
        </w:tc>
        <w:tc>
          <w:tcPr>
            <w:tcW w:type="dxa" w:w="489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Salon Name: _________________________</w:t>
              <w:br/>
              <w:t>Authorized Person: ____________________</w:t>
              <w:br/>
              <w:t>Designation: Owner / General Manager</w:t>
              <w:br/>
              <w:br/>
              <w:t>Signature &amp; Seal: ____________________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0F2A4A"/>
          <w:sz w:val="26"/>
        </w:rPr>
        <w:t>5. Annual Maintenance Contract (AMC) Terms &amp; SLA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1E293B"/>
          <w:sz w:val="19"/>
        </w:rPr>
        <w:t>AMC Annual Fee:</w:t>
      </w:r>
      <w:r>
        <w:rPr>
          <w:rFonts w:ascii="Arial" w:hAnsi="Arial"/>
          <w:color w:val="1E293B"/>
          <w:sz w:val="19"/>
        </w:rPr>
        <w:t xml:space="preserve"> Year 1 Warranty: 100% Complimentary (Included in deployment package).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1E293B"/>
          <w:sz w:val="19"/>
        </w:rPr>
        <w:t>Renewal Rate:</w:t>
      </w:r>
      <w:r>
        <w:rPr>
          <w:rFonts w:ascii="Arial" w:hAnsi="Arial"/>
          <w:color w:val="1E293B"/>
          <w:sz w:val="19"/>
        </w:rPr>
        <w:t xml:space="preserve"> Year 2 Onwards: Rs. 4,500 /- per year for Primary Node (Rs. 1,500 / yr per additional LAN terminal).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1E293B"/>
          <w:sz w:val="19"/>
        </w:rPr>
        <w:t>Scope of AMC:</w:t>
      </w:r>
      <w:r>
        <w:rPr>
          <w:rFonts w:ascii="Arial" w:hAnsi="Arial"/>
          <w:color w:val="1E293B"/>
          <w:sz w:val="19"/>
        </w:rPr>
        <w:t xml:space="preserve"> Unlimited remote desktop troubleshooting (AnyDesk/TeamViewer), minor software updates, SQL database health defragmentation, disaster recovery data restoration, and thermal printer recalibration.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1E293B"/>
          <w:sz w:val="19"/>
        </w:rPr>
        <w:t>SLA Response Times:</w:t>
      </w:r>
      <w:r>
        <w:rPr>
          <w:rFonts w:ascii="Arial" w:hAnsi="Arial"/>
          <w:color w:val="1E293B"/>
          <w:sz w:val="19"/>
        </w:rPr>
        <w:t xml:space="preserve"> P1 Critical (Counter Down): Response &lt; 30 Mins | Resolution &lt; 2 Hours.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1E293B"/>
          <w:sz w:val="19"/>
        </w:rPr>
        <w:t>SLA Response Times:</w:t>
      </w:r>
      <w:r>
        <w:rPr>
          <w:rFonts w:ascii="Arial" w:hAnsi="Arial"/>
          <w:color w:val="1E293B"/>
          <w:sz w:val="19"/>
        </w:rPr>
        <w:t xml:space="preserve"> P2 High (Feature Issue): Response &lt; 2 Hours | Resolution &lt; 6 Hours.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1E293B"/>
          <w:sz w:val="19"/>
        </w:rPr>
        <w:t>SLA Response Times:</w:t>
      </w:r>
      <w:r>
        <w:rPr>
          <w:rFonts w:ascii="Arial" w:hAnsi="Arial"/>
          <w:color w:val="1E293B"/>
          <w:sz w:val="19"/>
        </w:rPr>
        <w:t xml:space="preserve"> P3 Standard (General/Report Query): Response &lt; 4 Hours | Resolution &lt; 24 Hours.</w:t>
      </w:r>
    </w:p>
    <w:p>
      <w:pPr>
        <w:keepNext/>
        <w:spacing w:before="320" w:after="120"/>
      </w:pPr>
      <w:r>
        <w:rPr>
          <w:rFonts w:ascii="Arial" w:hAnsi="Arial"/>
          <w:b/>
          <w:color w:val="0F2A4A"/>
          <w:sz w:val="26"/>
        </w:rPr>
        <w:t>6. Standard Terms &amp; Conditions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1E293B"/>
          <w:sz w:val="19"/>
        </w:rPr>
        <w:t>Perpetual License:</w:t>
      </w:r>
      <w:r>
        <w:rPr>
          <w:rFonts w:ascii="Arial" w:hAnsi="Arial"/>
          <w:color w:val="1E293B"/>
          <w:sz w:val="19"/>
        </w:rPr>
        <w:t xml:space="preserve"> The software license is perpetual for the installed workstation. Client maintains 100% data ownership of their local database.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1E293B"/>
          <w:sz w:val="19"/>
        </w:rPr>
        <w:t>Payment Terms:</w:t>
      </w:r>
      <w:r>
        <w:rPr>
          <w:rFonts w:ascii="Arial" w:hAnsi="Arial"/>
          <w:color w:val="1E293B"/>
          <w:sz w:val="19"/>
        </w:rPr>
        <w:t xml:space="preserve"> AMC renewal fees are payable annually in advance. Non-renewal does not lock the offline POS system but shifts support to chargeable per-incident tickets.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1E293B"/>
          <w:sz w:val="19"/>
        </w:rPr>
        <w:t>Client Obligations:</w:t>
      </w:r>
      <w:r>
        <w:rPr>
          <w:rFonts w:ascii="Arial" w:hAnsi="Arial"/>
          <w:color w:val="1E293B"/>
          <w:sz w:val="19"/>
        </w:rPr>
        <w:t xml:space="preserve"> Client must maintain appropriate power backup (UPS) and safeguard automated daily database backups.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