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rFonts w:ascii="Calibri" w:hAnsi="Calibri"/>
          <w:b/>
          <w:color w:val="1B365D"/>
          <w:sz w:val="52"/>
        </w:rPr>
        <w:t>SDK SOLUTIONS ERP SYSTEM</w:t>
      </w:r>
    </w:p>
    <w:p>
      <w:pPr>
        <w:spacing w:before="0" w:after="480"/>
        <w:jc w:val="center"/>
      </w:pPr>
      <w:r>
        <w:rPr>
          <w:rFonts w:ascii="Calibri" w:hAnsi="Calibri"/>
          <w:b/>
          <w:color w:val="2B547E"/>
          <w:sz w:val="26"/>
        </w:rPr>
        <w:t>Complete Software Requirements Specification (SRS),</w:t>
        <w:br/>
        <w:t>Functional System Design &amp; Comprehensive Database Architecture</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968"/>
        <w:gridCol w:w="4968"/>
      </w:tblGrid>
      <w:tr>
        <w:tc>
          <w:tcPr>
            <w:tcW w:type="dxa" w:w="3168"/>
            <w:shd w:fill="1B365D"/>
            <w:tcMar>
              <w:top w:w="120" w:type="dxa"/>
              <w:bottom w:w="120" w:type="dxa"/>
              <w:left w:w="140" w:type="dxa"/>
              <w:right w:w="140" w:type="dxa"/>
            </w:tcMar>
          </w:tcPr>
          <w:p>
            <w:pPr>
              <w:spacing w:before="0" w:after="0"/>
            </w:pPr>
            <w:r>
              <w:rPr>
                <w:rFonts w:ascii="Calibri" w:hAnsi="Calibri"/>
                <w:b/>
                <w:color w:val="FFFFFF"/>
                <w:sz w:val="18"/>
              </w:rPr>
              <w:t>Document Attribute</w:t>
            </w:r>
          </w:p>
        </w:tc>
        <w:tc>
          <w:tcPr>
            <w:tcW w:type="dxa" w:w="6336"/>
            <w:shd w:fill="1B365D"/>
            <w:tcMar>
              <w:top w:w="120" w:type="dxa"/>
              <w:bottom w:w="120" w:type="dxa"/>
              <w:left w:w="140" w:type="dxa"/>
              <w:right w:w="140" w:type="dxa"/>
            </w:tcMar>
          </w:tcPr>
          <w:p>
            <w:pPr>
              <w:spacing w:before="0" w:after="0"/>
            </w:pPr>
            <w:r>
              <w:rPr>
                <w:rFonts w:ascii="Calibri" w:hAnsi="Calibri"/>
                <w:b/>
                <w:color w:val="FFFFFF"/>
                <w:sz w:val="18"/>
              </w:rPr>
              <w:t>Specification Details</w:t>
            </w:r>
          </w:p>
        </w:tc>
      </w:tr>
      <w:tr>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Document Type</w:t>
            </w:r>
          </w:p>
        </w:tc>
        <w:tc>
          <w:tcPr>
            <w:tcW w:type="dxa" w:w="6336"/>
            <w:shd w:fill="FFFFFF"/>
            <w:tcMar>
              <w:top w:w="80" w:type="dxa"/>
              <w:bottom w:w="80" w:type="dxa"/>
              <w:left w:w="120" w:type="dxa"/>
              <w:right w:w="120" w:type="dxa"/>
            </w:tcMar>
          </w:tcPr>
          <w:p>
            <w:pPr>
              <w:spacing w:before="0" w:after="40" w:line="276" w:lineRule="auto"/>
            </w:pPr>
            <w:r>
              <w:rPr>
                <w:rFonts w:ascii="Calibri" w:hAnsi="Calibri"/>
                <w:color w:val="2C3E50"/>
                <w:sz w:val="17"/>
              </w:rPr>
              <w:t>Enterprise Software Requirements Specification (SRS) &amp; Database Design Document</w:t>
            </w:r>
          </w:p>
        </w:tc>
      </w:tr>
      <w:tr>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Organization</w:t>
            </w:r>
          </w:p>
        </w:tc>
        <w:tc>
          <w:tcPr>
            <w:tcW w:type="dxa" w:w="6336"/>
            <w:shd w:fill="F8FAFC"/>
            <w:tcMar>
              <w:top w:w="80" w:type="dxa"/>
              <w:bottom w:w="80" w:type="dxa"/>
              <w:left w:w="120" w:type="dxa"/>
              <w:right w:w="120" w:type="dxa"/>
            </w:tcMar>
          </w:tcPr>
          <w:p>
            <w:pPr>
              <w:spacing w:before="0" w:after="40" w:line="276" w:lineRule="auto"/>
            </w:pPr>
            <w:r>
              <w:rPr>
                <w:rFonts w:ascii="Calibri" w:hAnsi="Calibri"/>
                <w:color w:val="2C3E50"/>
                <w:sz w:val="17"/>
              </w:rPr>
              <w:t>SDK Solutions Private Limited</w:t>
            </w:r>
          </w:p>
        </w:tc>
      </w:tr>
      <w:tr>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Document Version</w:t>
            </w:r>
          </w:p>
        </w:tc>
        <w:tc>
          <w:tcPr>
            <w:tcW w:type="dxa" w:w="6336"/>
            <w:shd w:fill="FFFFFF"/>
            <w:tcMar>
              <w:top w:w="80" w:type="dxa"/>
              <w:bottom w:w="80" w:type="dxa"/>
              <w:left w:w="120" w:type="dxa"/>
              <w:right w:w="120" w:type="dxa"/>
            </w:tcMar>
          </w:tcPr>
          <w:p>
            <w:pPr>
              <w:spacing w:before="0" w:after="40" w:line="276" w:lineRule="auto"/>
            </w:pPr>
            <w:r>
              <w:rPr>
                <w:rFonts w:ascii="Calibri" w:hAnsi="Calibri"/>
                <w:color w:val="2C3E50"/>
                <w:sz w:val="17"/>
              </w:rPr>
              <w:t>2.0 – Production Baseline &amp; Complete Database Specification</w:t>
            </w:r>
          </w:p>
        </w:tc>
      </w:tr>
      <w:tr>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Publication Date</w:t>
            </w:r>
          </w:p>
        </w:tc>
        <w:tc>
          <w:tcPr>
            <w:tcW w:type="dxa" w:w="6336"/>
            <w:shd w:fill="F8FAFC"/>
            <w:tcMar>
              <w:top w:w="80" w:type="dxa"/>
              <w:bottom w:w="80" w:type="dxa"/>
              <w:left w:w="120" w:type="dxa"/>
              <w:right w:w="120" w:type="dxa"/>
            </w:tcMar>
          </w:tcPr>
          <w:p>
            <w:pPr>
              <w:spacing w:before="0" w:after="40" w:line="276" w:lineRule="auto"/>
            </w:pPr>
            <w:r>
              <w:rPr>
                <w:rFonts w:ascii="Calibri" w:hAnsi="Calibri"/>
                <w:color w:val="2C3E50"/>
                <w:sz w:val="17"/>
              </w:rPr>
              <w:t>September 2026</w:t>
            </w:r>
          </w:p>
        </w:tc>
      </w:tr>
      <w:tr>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Target Architecture</w:t>
            </w:r>
          </w:p>
        </w:tc>
        <w:tc>
          <w:tcPr>
            <w:tcW w:type="dxa" w:w="6336"/>
            <w:shd w:fill="FFFFFF"/>
            <w:tcMar>
              <w:top w:w="80" w:type="dxa"/>
              <w:bottom w:w="80" w:type="dxa"/>
              <w:left w:w="120" w:type="dxa"/>
              <w:right w:w="120" w:type="dxa"/>
            </w:tcMar>
          </w:tcPr>
          <w:p>
            <w:pPr>
              <w:spacing w:before="0" w:after="40" w:line="276" w:lineRule="auto"/>
            </w:pPr>
            <w:r>
              <w:rPr>
                <w:rFonts w:ascii="Calibri" w:hAnsi="Calibri"/>
                <w:color w:val="2C3E50"/>
                <w:sz w:val="17"/>
              </w:rPr>
              <w:t>Multi-Tier Web Application (PostgreSQL / MySQL + Micro-Modular Services + REST API)</w:t>
            </w:r>
          </w:p>
        </w:tc>
      </w:tr>
      <w:tr>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Primary Operating Model</w:t>
            </w:r>
          </w:p>
        </w:tc>
        <w:tc>
          <w:tcPr>
            <w:tcW w:type="dxa" w:w="6336"/>
            <w:shd w:fill="F8FAFC"/>
            <w:tcMar>
              <w:top w:w="80" w:type="dxa"/>
              <w:bottom w:w="80" w:type="dxa"/>
              <w:left w:w="120" w:type="dxa"/>
              <w:right w:w="120" w:type="dxa"/>
            </w:tcMar>
          </w:tcPr>
          <w:p>
            <w:pPr>
              <w:spacing w:before="0" w:after="40" w:line="276" w:lineRule="auto"/>
            </w:pPr>
            <w:r>
              <w:rPr>
                <w:rFonts w:ascii="Calibri" w:hAnsi="Calibri"/>
                <w:color w:val="2C3E50"/>
                <w:sz w:val="17"/>
              </w:rPr>
              <w:t>Project-Centric Operations, Procurement, Double-Entry Accounting &amp; GST Compliance</w:t>
            </w:r>
          </w:p>
        </w:tc>
      </w:tr>
      <w:tr>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Office Inventory Scope</w:t>
            </w:r>
          </w:p>
        </w:tc>
        <w:tc>
          <w:tcPr>
            <w:tcW w:type="dxa" w:w="6336"/>
            <w:shd w:fill="FFFFFF"/>
            <w:tcMar>
              <w:top w:w="80" w:type="dxa"/>
              <w:bottom w:w="80" w:type="dxa"/>
              <w:left w:w="120" w:type="dxa"/>
              <w:right w:w="120" w:type="dxa"/>
            </w:tcMar>
          </w:tcPr>
          <w:p>
            <w:pPr>
              <w:spacing w:before="0" w:after="40" w:line="276" w:lineRule="auto"/>
            </w:pPr>
            <w:r>
              <w:rPr>
                <w:rFonts w:ascii="Calibri" w:hAnsi="Calibri"/>
                <w:color w:val="2C3E50"/>
                <w:sz w:val="17"/>
              </w:rPr>
              <w:t>Internal Consumables &amp; Office Supplies Only (Strictly Non-Commercial Warehouse)</w:t>
            </w:r>
          </w:p>
        </w:tc>
      </w:tr>
      <w:tr>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Target Audience</w:t>
            </w:r>
          </w:p>
        </w:tc>
        <w:tc>
          <w:tcPr>
            <w:tcW w:type="dxa" w:w="6336"/>
            <w:shd w:fill="F8FAFC"/>
            <w:tcMar>
              <w:top w:w="80" w:type="dxa"/>
              <w:bottom w:w="80" w:type="dxa"/>
              <w:left w:w="120" w:type="dxa"/>
              <w:right w:w="120" w:type="dxa"/>
            </w:tcMar>
          </w:tcPr>
          <w:p>
            <w:pPr>
              <w:spacing w:before="0" w:after="40" w:line="276" w:lineRule="auto"/>
            </w:pPr>
            <w:r>
              <w:rPr>
                <w:rFonts w:ascii="Calibri" w:hAnsi="Calibri"/>
                <w:color w:val="2C3E50"/>
                <w:sz w:val="17"/>
              </w:rPr>
              <w:t>Executive Leadership, Product Owners, Solution Architects, Backend/Frontend Engineers, QA &amp; DBA</w:t>
            </w:r>
          </w:p>
        </w:tc>
      </w:tr>
      <w:tr>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Document Status</w:t>
            </w:r>
          </w:p>
        </w:tc>
        <w:tc>
          <w:tcPr>
            <w:tcW w:type="dxa" w:w="6336"/>
            <w:shd w:fill="FFFFFF"/>
            <w:tcMar>
              <w:top w:w="80" w:type="dxa"/>
              <w:bottom w:w="80" w:type="dxa"/>
              <w:left w:w="120" w:type="dxa"/>
              <w:right w:w="120" w:type="dxa"/>
            </w:tcMar>
          </w:tcPr>
          <w:p>
            <w:pPr>
              <w:spacing w:before="0" w:after="40" w:line="276" w:lineRule="auto"/>
            </w:pPr>
            <w:r>
              <w:rPr>
                <w:rFonts w:ascii="Calibri" w:hAnsi="Calibri"/>
                <w:color w:val="2C3E50"/>
                <w:sz w:val="17"/>
              </w:rPr>
              <w:t>Approved Baseline for Development &amp; Quality Assurance</w:t>
            </w:r>
          </w:p>
        </w:tc>
      </w:tr>
    </w:tbl>
    <w:p>
      <w:pPr>
        <w:spacing w:before="0" w:after="120"/>
      </w:pPr>
    </w:p>
    <w:p>
      <w:pPr>
        <w:keepNext/>
        <w:spacing w:before="280" w:after="80"/>
      </w:pPr>
      <w:r>
        <w:rPr>
          <w:rFonts w:ascii="Calibri" w:hAnsi="Calibri"/>
          <w:b/>
          <w:color w:val="2B547E"/>
          <w:sz w:val="25"/>
        </w:rPr>
        <w:t>Document Control &amp; Revision History</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484"/>
        <w:gridCol w:w="2484"/>
        <w:gridCol w:w="2484"/>
        <w:gridCol w:w="2484"/>
      </w:tblGrid>
      <w:tr>
        <w:tc>
          <w:tcPr>
            <w:tcW w:type="dxa" w:w="1152"/>
            <w:shd w:fill="1B365D"/>
            <w:tcMar>
              <w:top w:w="120" w:type="dxa"/>
              <w:bottom w:w="120" w:type="dxa"/>
              <w:left w:w="140" w:type="dxa"/>
              <w:right w:w="140" w:type="dxa"/>
            </w:tcMar>
          </w:tcPr>
          <w:p>
            <w:pPr>
              <w:spacing w:before="0" w:after="0"/>
            </w:pPr>
            <w:r>
              <w:rPr>
                <w:rFonts w:ascii="Calibri" w:hAnsi="Calibri"/>
                <w:b/>
                <w:color w:val="FFFFFF"/>
                <w:sz w:val="18"/>
              </w:rPr>
              <w:t>Version</w:t>
            </w:r>
          </w:p>
        </w:tc>
        <w:tc>
          <w:tcPr>
            <w:tcW w:type="dxa" w:w="1728"/>
            <w:shd w:fill="1B365D"/>
            <w:tcMar>
              <w:top w:w="120" w:type="dxa"/>
              <w:bottom w:w="120" w:type="dxa"/>
              <w:left w:w="140" w:type="dxa"/>
              <w:right w:w="140" w:type="dxa"/>
            </w:tcMar>
          </w:tcPr>
          <w:p>
            <w:pPr>
              <w:spacing w:before="0" w:after="0"/>
            </w:pPr>
            <w:r>
              <w:rPr>
                <w:rFonts w:ascii="Calibri" w:hAnsi="Calibri"/>
                <w:b/>
                <w:color w:val="FFFFFF"/>
                <w:sz w:val="18"/>
              </w:rPr>
              <w:t>Release Date</w:t>
            </w:r>
          </w:p>
        </w:tc>
        <w:tc>
          <w:tcPr>
            <w:tcW w:type="dxa" w:w="2592"/>
            <w:shd w:fill="1B365D"/>
            <w:tcMar>
              <w:top w:w="120" w:type="dxa"/>
              <w:bottom w:w="120" w:type="dxa"/>
              <w:left w:w="140" w:type="dxa"/>
              <w:right w:w="140" w:type="dxa"/>
            </w:tcMar>
          </w:tcPr>
          <w:p>
            <w:pPr>
              <w:spacing w:before="0" w:after="0"/>
            </w:pPr>
            <w:r>
              <w:rPr>
                <w:rFonts w:ascii="Calibri" w:hAnsi="Calibri"/>
                <w:b/>
                <w:color w:val="FFFFFF"/>
                <w:sz w:val="18"/>
              </w:rPr>
              <w:t>Primary Author</w:t>
            </w:r>
          </w:p>
        </w:tc>
        <w:tc>
          <w:tcPr>
            <w:tcW w:type="dxa" w:w="4032"/>
            <w:shd w:fill="1B365D"/>
            <w:tcMar>
              <w:top w:w="120" w:type="dxa"/>
              <w:bottom w:w="120" w:type="dxa"/>
              <w:left w:w="140" w:type="dxa"/>
              <w:right w:w="140" w:type="dxa"/>
            </w:tcMar>
          </w:tcPr>
          <w:p>
            <w:pPr>
              <w:spacing w:before="0" w:after="0"/>
            </w:pPr>
            <w:r>
              <w:rPr>
                <w:rFonts w:ascii="Calibri" w:hAnsi="Calibri"/>
                <w:b/>
                <w:color w:val="FFFFFF"/>
                <w:sz w:val="18"/>
              </w:rPr>
              <w:t>Summary of Major Changes</w:t>
            </w:r>
          </w:p>
        </w:tc>
      </w:tr>
      <w:tr>
        <w:tc>
          <w:tcPr>
            <w:tcW w:type="dxa" w:w="1152"/>
            <w:shd w:fill="FFFFFF"/>
            <w:tcMar>
              <w:top w:w="80" w:type="dxa"/>
              <w:bottom w:w="80" w:type="dxa"/>
              <w:left w:w="120" w:type="dxa"/>
              <w:right w:w="120" w:type="dxa"/>
            </w:tcMar>
          </w:tcPr>
          <w:p>
            <w:pPr>
              <w:spacing w:before="0" w:after="40" w:line="276" w:lineRule="auto"/>
            </w:pPr>
            <w:r>
              <w:rPr>
                <w:rFonts w:ascii="Calibri" w:hAnsi="Calibri"/>
                <w:color w:val="2C3E50"/>
                <w:sz w:val="17"/>
              </w:rPr>
              <w:t>1.0</w:t>
            </w:r>
          </w:p>
        </w:tc>
        <w:tc>
          <w:tcPr>
            <w:tcW w:type="dxa" w:w="1728"/>
            <w:shd w:fill="FFFFFF"/>
            <w:tcMar>
              <w:top w:w="80" w:type="dxa"/>
              <w:bottom w:w="80" w:type="dxa"/>
              <w:left w:w="120" w:type="dxa"/>
              <w:right w:w="120" w:type="dxa"/>
            </w:tcMar>
          </w:tcPr>
          <w:p>
            <w:pPr>
              <w:spacing w:before="0" w:after="40" w:line="276" w:lineRule="auto"/>
            </w:pPr>
            <w:r>
              <w:rPr>
                <w:rFonts w:ascii="Calibri" w:hAnsi="Calibri"/>
                <w:color w:val="2C3E50"/>
                <w:sz w:val="17"/>
              </w:rPr>
              <w:t>September 2026</w:t>
            </w:r>
          </w:p>
        </w:tc>
        <w:tc>
          <w:tcPr>
            <w:tcW w:type="dxa" w:w="2592"/>
            <w:shd w:fill="FFFFFF"/>
            <w:tcMar>
              <w:top w:w="80" w:type="dxa"/>
              <w:bottom w:w="80" w:type="dxa"/>
              <w:left w:w="120" w:type="dxa"/>
              <w:right w:w="120" w:type="dxa"/>
            </w:tcMar>
          </w:tcPr>
          <w:p>
            <w:pPr>
              <w:spacing w:before="0" w:after="40" w:line="276" w:lineRule="auto"/>
            </w:pPr>
            <w:r>
              <w:rPr>
                <w:rFonts w:ascii="Calibri" w:hAnsi="Calibri"/>
                <w:color w:val="2C3E50"/>
                <w:sz w:val="17"/>
              </w:rPr>
              <w:t>Enterprise Solutions Team</w:t>
            </w:r>
          </w:p>
        </w:tc>
        <w:tc>
          <w:tcPr>
            <w:tcW w:type="dxa" w:w="4032"/>
            <w:shd w:fill="FFFFFF"/>
            <w:tcMar>
              <w:top w:w="80" w:type="dxa"/>
              <w:bottom w:w="80" w:type="dxa"/>
              <w:left w:w="120" w:type="dxa"/>
              <w:right w:w="120" w:type="dxa"/>
            </w:tcMar>
          </w:tcPr>
          <w:p>
            <w:pPr>
              <w:spacing w:before="0" w:after="40" w:line="276" w:lineRule="auto"/>
            </w:pPr>
            <w:r>
              <w:rPr>
                <w:rFonts w:ascii="Calibri" w:hAnsi="Calibri"/>
                <w:color w:val="2C3E50"/>
                <w:sz w:val="17"/>
              </w:rPr>
              <w:t>Initial Functional SRS defining navigation, 11 core modules, and business boundaries.</w:t>
            </w:r>
          </w:p>
        </w:tc>
      </w:tr>
      <w:tr>
        <w:tc>
          <w:tcPr>
            <w:tcW w:type="dxa" w:w="1152"/>
            <w:shd w:fill="F8FAFC"/>
            <w:tcMar>
              <w:top w:w="80" w:type="dxa"/>
              <w:bottom w:w="80" w:type="dxa"/>
              <w:left w:w="120" w:type="dxa"/>
              <w:right w:w="120" w:type="dxa"/>
            </w:tcMar>
          </w:tcPr>
          <w:p>
            <w:pPr>
              <w:spacing w:before="0" w:after="40" w:line="276" w:lineRule="auto"/>
            </w:pPr>
            <w:r>
              <w:rPr>
                <w:rFonts w:ascii="Calibri" w:hAnsi="Calibri"/>
                <w:color w:val="2C3E50"/>
                <w:sz w:val="17"/>
              </w:rPr>
              <w:t>2.0</w:t>
            </w:r>
          </w:p>
        </w:tc>
        <w:tc>
          <w:tcPr>
            <w:tcW w:type="dxa" w:w="1728"/>
            <w:shd w:fill="F8FAFC"/>
            <w:tcMar>
              <w:top w:w="80" w:type="dxa"/>
              <w:bottom w:w="80" w:type="dxa"/>
              <w:left w:w="120" w:type="dxa"/>
              <w:right w:w="120" w:type="dxa"/>
            </w:tcMar>
          </w:tcPr>
          <w:p>
            <w:pPr>
              <w:spacing w:before="0" w:after="40" w:line="276" w:lineRule="auto"/>
            </w:pPr>
            <w:r>
              <w:rPr>
                <w:rFonts w:ascii="Calibri" w:hAnsi="Calibri"/>
                <w:color w:val="2C3E50"/>
                <w:sz w:val="17"/>
              </w:rPr>
              <w:t>September 2026</w:t>
            </w:r>
          </w:p>
        </w:tc>
        <w:tc>
          <w:tcPr>
            <w:tcW w:type="dxa" w:w="2592"/>
            <w:shd w:fill="F8FAFC"/>
            <w:tcMar>
              <w:top w:w="80" w:type="dxa"/>
              <w:bottom w:w="80" w:type="dxa"/>
              <w:left w:w="120" w:type="dxa"/>
              <w:right w:w="120" w:type="dxa"/>
            </w:tcMar>
          </w:tcPr>
          <w:p>
            <w:pPr>
              <w:spacing w:before="0" w:after="40" w:line="276" w:lineRule="auto"/>
            </w:pPr>
            <w:r>
              <w:rPr>
                <w:rFonts w:ascii="Calibri" w:hAnsi="Calibri"/>
                <w:color w:val="2C3E50"/>
                <w:sz w:val="17"/>
              </w:rPr>
              <w:t>Principal Systems Architect</w:t>
            </w:r>
          </w:p>
        </w:tc>
        <w:tc>
          <w:tcPr>
            <w:tcW w:type="dxa" w:w="4032"/>
            <w:shd w:fill="F8FAFC"/>
            <w:tcMar>
              <w:top w:w="80" w:type="dxa"/>
              <w:bottom w:w="80" w:type="dxa"/>
              <w:left w:w="120" w:type="dxa"/>
              <w:right w:w="120" w:type="dxa"/>
            </w:tcMar>
          </w:tcPr>
          <w:p>
            <w:pPr>
              <w:spacing w:before="0" w:after="40" w:line="276" w:lineRule="auto"/>
            </w:pPr>
            <w:r>
              <w:rPr>
                <w:rFonts w:ascii="Calibri" w:hAnsi="Calibri"/>
                <w:color w:val="2C3E50"/>
                <w:sz w:val="17"/>
              </w:rPr>
              <w:t>Added complete Database Architecture, 48 Entity Data Dictionaries, 8 System &amp; ER Diagrams, Double-Entry Accounting Posting Matrix, Unified Approval Engine, RBAC Matrix, and UAT Verification Plan.</w:t>
            </w:r>
          </w:p>
        </w:tc>
      </w:tr>
    </w:tbl>
    <w:p>
      <w:pPr>
        <w:spacing w:before="0" w:after="120"/>
      </w:pPr>
    </w:p>
    <w:p>
      <w:pPr>
        <w:keepNext/>
        <w:spacing w:before="280" w:after="80"/>
      </w:pPr>
      <w:r>
        <w:rPr>
          <w:rFonts w:ascii="Calibri" w:hAnsi="Calibri"/>
          <w:b/>
          <w:color w:val="2B547E"/>
          <w:sz w:val="25"/>
        </w:rPr>
        <w:t>Glossary of Abbreviations &amp; Acronyms</w:t>
      </w:r>
    </w:p>
    <w:p>
      <w:pPr>
        <w:spacing w:before="0" w:after="80" w:line="276" w:lineRule="auto"/>
      </w:pPr>
      <w:r>
        <w:rPr>
          <w:rFonts w:ascii="Calibri" w:hAnsi="Calibri"/>
          <w:color w:val="2C3E50"/>
          <w:sz w:val="20"/>
        </w:rPr>
        <w:t>The following reference table defines all technical, architectural, financial, statutory, and security abbreviations utilized throughout this specification document:</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312"/>
        <w:gridCol w:w="3312"/>
        <w:gridCol w:w="3312"/>
      </w:tblGrid>
      <w:tr>
        <w:tc>
          <w:tcPr>
            <w:tcW w:type="dxa" w:w="2016"/>
            <w:shd w:fill="1B365D"/>
            <w:tcMar>
              <w:top w:w="120" w:type="dxa"/>
              <w:bottom w:w="120" w:type="dxa"/>
              <w:left w:w="140" w:type="dxa"/>
              <w:right w:w="140" w:type="dxa"/>
            </w:tcMar>
          </w:tcPr>
          <w:p>
            <w:pPr>
              <w:spacing w:before="0" w:after="0"/>
            </w:pPr>
            <w:r>
              <w:rPr>
                <w:rFonts w:ascii="Calibri" w:hAnsi="Calibri"/>
                <w:b/>
                <w:color w:val="FFFFFF"/>
                <w:sz w:val="18"/>
              </w:rPr>
              <w:t>Abbreviation</w:t>
            </w:r>
          </w:p>
        </w:tc>
        <w:tc>
          <w:tcPr>
            <w:tcW w:type="dxa" w:w="3168"/>
            <w:shd w:fill="1B365D"/>
            <w:tcMar>
              <w:top w:w="120" w:type="dxa"/>
              <w:bottom w:w="120" w:type="dxa"/>
              <w:left w:w="140" w:type="dxa"/>
              <w:right w:w="140" w:type="dxa"/>
            </w:tcMar>
          </w:tcPr>
          <w:p>
            <w:pPr>
              <w:spacing w:before="0" w:after="0"/>
            </w:pPr>
            <w:r>
              <w:rPr>
                <w:rFonts w:ascii="Calibri" w:hAnsi="Calibri"/>
                <w:b/>
                <w:color w:val="FFFFFF"/>
                <w:sz w:val="18"/>
              </w:rPr>
              <w:t>Full Term / Expansion</w:t>
            </w:r>
          </w:p>
        </w:tc>
        <w:tc>
          <w:tcPr>
            <w:tcW w:type="dxa" w:w="4320"/>
            <w:shd w:fill="1B365D"/>
            <w:tcMar>
              <w:top w:w="120" w:type="dxa"/>
              <w:bottom w:w="120" w:type="dxa"/>
              <w:left w:w="140" w:type="dxa"/>
              <w:right w:w="140" w:type="dxa"/>
            </w:tcMar>
          </w:tcPr>
          <w:p>
            <w:pPr>
              <w:spacing w:before="0" w:after="0"/>
            </w:pPr>
            <w:r>
              <w:rPr>
                <w:rFonts w:ascii="Calibri" w:hAnsi="Calibri"/>
                <w:b/>
                <w:color w:val="FFFFFF"/>
                <w:sz w:val="18"/>
              </w:rPr>
              <w:t>Domain &amp; Contextual Definition in SDK ERP</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3NF</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Third Normal Form</w:t>
            </w:r>
          </w:p>
        </w:tc>
        <w:tc>
          <w:tcPr>
            <w:tcW w:type="dxa" w:w="4320"/>
            <w:shd w:fill="FFFFFF"/>
            <w:tcMar>
              <w:top w:w="80" w:type="dxa"/>
              <w:bottom w:w="80" w:type="dxa"/>
              <w:left w:w="120" w:type="dxa"/>
              <w:right w:w="120" w:type="dxa"/>
            </w:tcMar>
          </w:tcPr>
          <w:p>
            <w:pPr>
              <w:spacing w:before="0" w:after="40" w:line="276" w:lineRule="auto"/>
            </w:pPr>
            <w:r>
              <w:rPr>
                <w:rFonts w:ascii="Calibri" w:hAnsi="Calibri"/>
                <w:color w:val="2C3E50"/>
                <w:sz w:val="17"/>
              </w:rPr>
              <w:t>Database normalization standard ensuring zero transitive functional dependencies across 48 tables.</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3-Way Match</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Three-Way Matching</w:t>
            </w:r>
          </w:p>
        </w:tc>
        <w:tc>
          <w:tcPr>
            <w:tcW w:type="dxa" w:w="4320"/>
            <w:shd w:fill="F8FAFC"/>
            <w:tcMar>
              <w:top w:w="80" w:type="dxa"/>
              <w:bottom w:w="80" w:type="dxa"/>
              <w:left w:w="120" w:type="dxa"/>
              <w:right w:w="120" w:type="dxa"/>
            </w:tcMar>
          </w:tcPr>
          <w:p>
            <w:pPr>
              <w:spacing w:before="0" w:after="40" w:line="276" w:lineRule="auto"/>
            </w:pPr>
            <w:r>
              <w:rPr>
                <w:rFonts w:ascii="Calibri" w:hAnsi="Calibri"/>
                <w:color w:val="2C3E50"/>
                <w:sz w:val="17"/>
              </w:rPr>
              <w:t>Automated reconciliation matching Purchase Order (PO), Goods Receipt (GRN), and Vendor Bill quantities/rates.</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AES-256</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Advanced Encryption Standard (256-bit)</w:t>
            </w:r>
          </w:p>
        </w:tc>
        <w:tc>
          <w:tcPr>
            <w:tcW w:type="dxa" w:w="4320"/>
            <w:shd w:fill="FFFFFF"/>
            <w:tcMar>
              <w:top w:w="80" w:type="dxa"/>
              <w:bottom w:w="80" w:type="dxa"/>
              <w:left w:w="120" w:type="dxa"/>
              <w:right w:w="120" w:type="dxa"/>
            </w:tcMar>
          </w:tcPr>
          <w:p>
            <w:pPr>
              <w:spacing w:before="0" w:after="40" w:line="276" w:lineRule="auto"/>
            </w:pPr>
            <w:r>
              <w:rPr>
                <w:rFonts w:ascii="Calibri" w:hAnsi="Calibri"/>
                <w:color w:val="2C3E50"/>
                <w:sz w:val="17"/>
              </w:rPr>
              <w:t>Cryptographic standard used for column-level encryption of sensitive data (PAN, Aadhaar, Bank Details).</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AP</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Accounts Payable</w:t>
            </w:r>
          </w:p>
        </w:tc>
        <w:tc>
          <w:tcPr>
            <w:tcW w:type="dxa" w:w="4320"/>
            <w:shd w:fill="F8FAFC"/>
            <w:tcMar>
              <w:top w:w="80" w:type="dxa"/>
              <w:bottom w:w="80" w:type="dxa"/>
              <w:left w:w="120" w:type="dxa"/>
              <w:right w:w="120" w:type="dxa"/>
            </w:tcMar>
          </w:tcPr>
          <w:p>
            <w:pPr>
              <w:spacing w:before="0" w:after="40" w:line="276" w:lineRule="auto"/>
            </w:pPr>
            <w:r>
              <w:rPr>
                <w:rFonts w:ascii="Calibri" w:hAnsi="Calibri"/>
                <w:color w:val="2C3E50"/>
                <w:sz w:val="17"/>
              </w:rPr>
              <w:t>Sub-ledger tracking outstanding liabilities owed to vendors and suppliers for goods and services.</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AR</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Accounts Receivable</w:t>
            </w:r>
          </w:p>
        </w:tc>
        <w:tc>
          <w:tcPr>
            <w:tcW w:type="dxa" w:w="4320"/>
            <w:shd w:fill="FFFFFF"/>
            <w:tcMar>
              <w:top w:w="80" w:type="dxa"/>
              <w:bottom w:w="80" w:type="dxa"/>
              <w:left w:w="120" w:type="dxa"/>
              <w:right w:w="120" w:type="dxa"/>
            </w:tcMar>
          </w:tcPr>
          <w:p>
            <w:pPr>
              <w:spacing w:before="0" w:after="40" w:line="276" w:lineRule="auto"/>
            </w:pPr>
            <w:r>
              <w:rPr>
                <w:rFonts w:ascii="Calibri" w:hAnsi="Calibri"/>
                <w:color w:val="2C3E50"/>
                <w:sz w:val="17"/>
              </w:rPr>
              <w:t>Sub-ledger tracking money owed to the company by clients for billed tax invoices.</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ASVS</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Application Security Verification Standard</w:t>
            </w:r>
          </w:p>
        </w:tc>
        <w:tc>
          <w:tcPr>
            <w:tcW w:type="dxa" w:w="4320"/>
            <w:shd w:fill="F8FAFC"/>
            <w:tcMar>
              <w:top w:w="80" w:type="dxa"/>
              <w:bottom w:w="80" w:type="dxa"/>
              <w:left w:w="120" w:type="dxa"/>
              <w:right w:w="120" w:type="dxa"/>
            </w:tcMar>
          </w:tcPr>
          <w:p>
            <w:pPr>
              <w:spacing w:before="0" w:after="40" w:line="276" w:lineRule="auto"/>
            </w:pPr>
            <w:r>
              <w:rPr>
                <w:rFonts w:ascii="Calibri" w:hAnsi="Calibri"/>
                <w:color w:val="2C3E50"/>
                <w:sz w:val="17"/>
              </w:rPr>
              <w:t>OWASP standard (Level 2) defining enterprise application security requirements and verification metrics.</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BRS</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Bank Reconciliation Statement</w:t>
            </w:r>
          </w:p>
        </w:tc>
        <w:tc>
          <w:tcPr>
            <w:tcW w:type="dxa" w:w="4320"/>
            <w:shd w:fill="FFFFFF"/>
            <w:tcMar>
              <w:top w:w="80" w:type="dxa"/>
              <w:bottom w:w="80" w:type="dxa"/>
              <w:left w:w="120" w:type="dxa"/>
              <w:right w:w="120" w:type="dxa"/>
            </w:tcMar>
          </w:tcPr>
          <w:p>
            <w:pPr>
              <w:spacing w:before="0" w:after="40" w:line="276" w:lineRule="auto"/>
            </w:pPr>
            <w:r>
              <w:rPr>
                <w:rFonts w:ascii="Calibri" w:hAnsi="Calibri"/>
                <w:color w:val="2C3E50"/>
                <w:sz w:val="17"/>
              </w:rPr>
              <w:t>System process matching bank statement records (CSV/OFX) against internal general ledger cash books.</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CGST</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Central Goods and Services Tax</w:t>
            </w:r>
          </w:p>
        </w:tc>
        <w:tc>
          <w:tcPr>
            <w:tcW w:type="dxa" w:w="4320"/>
            <w:shd w:fill="F8FAFC"/>
            <w:tcMar>
              <w:top w:w="80" w:type="dxa"/>
              <w:bottom w:w="80" w:type="dxa"/>
              <w:left w:w="120" w:type="dxa"/>
              <w:right w:w="120" w:type="dxa"/>
            </w:tcMar>
          </w:tcPr>
          <w:p>
            <w:pPr>
              <w:spacing w:before="0" w:after="40" w:line="276" w:lineRule="auto"/>
            </w:pPr>
            <w:r>
              <w:rPr>
                <w:rFonts w:ascii="Calibri" w:hAnsi="Calibri"/>
                <w:color w:val="2C3E50"/>
                <w:sz w:val="17"/>
              </w:rPr>
              <w:t>Tax levied by the Central Government of India on intra-state supplies of goods and services.</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COA</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Chart of Accounts</w:t>
            </w:r>
          </w:p>
        </w:tc>
        <w:tc>
          <w:tcPr>
            <w:tcW w:type="dxa" w:w="4320"/>
            <w:shd w:fill="FFFFFF"/>
            <w:tcMar>
              <w:top w:w="80" w:type="dxa"/>
              <w:bottom w:w="80" w:type="dxa"/>
              <w:left w:w="120" w:type="dxa"/>
              <w:right w:w="120" w:type="dxa"/>
            </w:tcMar>
          </w:tcPr>
          <w:p>
            <w:pPr>
              <w:spacing w:before="0" w:after="40" w:line="276" w:lineRule="auto"/>
            </w:pPr>
            <w:r>
              <w:rPr>
                <w:rFonts w:ascii="Calibri" w:hAnsi="Calibri"/>
                <w:color w:val="2C3E50"/>
                <w:sz w:val="17"/>
              </w:rPr>
              <w:t>5-level hierarchical master structure of all general ledger accounts (Assets, Liabilities, Equity, Revenue, Expenses).</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CSRF</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Cross-Site Request Forgery</w:t>
            </w:r>
          </w:p>
        </w:tc>
        <w:tc>
          <w:tcPr>
            <w:tcW w:type="dxa" w:w="4320"/>
            <w:shd w:fill="F8FAFC"/>
            <w:tcMar>
              <w:top w:w="80" w:type="dxa"/>
              <w:bottom w:w="80" w:type="dxa"/>
              <w:left w:w="120" w:type="dxa"/>
              <w:right w:w="120" w:type="dxa"/>
            </w:tcMar>
          </w:tcPr>
          <w:p>
            <w:pPr>
              <w:spacing w:before="0" w:after="40" w:line="276" w:lineRule="auto"/>
            </w:pPr>
            <w:r>
              <w:rPr>
                <w:rFonts w:ascii="Calibri" w:hAnsi="Calibri"/>
                <w:color w:val="2C3E50"/>
                <w:sz w:val="17"/>
              </w:rPr>
              <w:t>Web security vulnerability mitigated via ASP.NET Core [ValidateAntiForgeryToken] on all state-changing HTTP requests.</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DAST</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Dynamic Application Security Testing</w:t>
            </w:r>
          </w:p>
        </w:tc>
        <w:tc>
          <w:tcPr>
            <w:tcW w:type="dxa" w:w="4320"/>
            <w:shd w:fill="FFFFFF"/>
            <w:tcMar>
              <w:top w:w="80" w:type="dxa"/>
              <w:bottom w:w="80" w:type="dxa"/>
              <w:left w:w="120" w:type="dxa"/>
              <w:right w:w="120" w:type="dxa"/>
            </w:tcMar>
          </w:tcPr>
          <w:p>
            <w:pPr>
              <w:spacing w:before="0" w:after="40" w:line="276" w:lineRule="auto"/>
            </w:pPr>
            <w:r>
              <w:rPr>
                <w:rFonts w:ascii="Calibri" w:hAnsi="Calibri"/>
                <w:color w:val="2C3E50"/>
                <w:sz w:val="17"/>
              </w:rPr>
              <w:t>Runtime black-box automated security vulnerability scanning (e.g., OWASP ZAP active scanning).</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DC</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Delivery Challan</w:t>
            </w:r>
          </w:p>
        </w:tc>
        <w:tc>
          <w:tcPr>
            <w:tcW w:type="dxa" w:w="4320"/>
            <w:shd w:fill="F8FAFC"/>
            <w:tcMar>
              <w:top w:w="80" w:type="dxa"/>
              <w:bottom w:w="80" w:type="dxa"/>
              <w:left w:w="120" w:type="dxa"/>
              <w:right w:w="120" w:type="dxa"/>
            </w:tcMar>
          </w:tcPr>
          <w:p>
            <w:pPr>
              <w:spacing w:before="0" w:after="40" w:line="276" w:lineRule="auto"/>
            </w:pPr>
            <w:r>
              <w:rPr>
                <w:rFonts w:ascii="Calibri" w:hAnsi="Calibri"/>
                <w:color w:val="2C3E50"/>
                <w:sz w:val="17"/>
              </w:rPr>
              <w:t>Document accompanying transport of goods/deliverables to client sites with courier/handover tracking.</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DDD</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Domain-Driven Design</w:t>
            </w:r>
          </w:p>
        </w:tc>
        <w:tc>
          <w:tcPr>
            <w:tcW w:type="dxa" w:w="4320"/>
            <w:shd w:fill="FFFFFF"/>
            <w:tcMar>
              <w:top w:w="80" w:type="dxa"/>
              <w:bottom w:w="80" w:type="dxa"/>
              <w:left w:w="120" w:type="dxa"/>
              <w:right w:w="120" w:type="dxa"/>
            </w:tcMar>
          </w:tcPr>
          <w:p>
            <w:pPr>
              <w:spacing w:before="0" w:after="40" w:line="276" w:lineRule="auto"/>
            </w:pPr>
            <w:r>
              <w:rPr>
                <w:rFonts w:ascii="Calibri" w:hAnsi="Calibri"/>
                <w:color w:val="2C3E50"/>
                <w:sz w:val="17"/>
              </w:rPr>
              <w:t>Software design approach structuring software around domain models, entities, and business logic.</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DDL</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Data Definition Language</w:t>
            </w:r>
          </w:p>
        </w:tc>
        <w:tc>
          <w:tcPr>
            <w:tcW w:type="dxa" w:w="4320"/>
            <w:shd w:fill="F8FAFC"/>
            <w:tcMar>
              <w:top w:w="80" w:type="dxa"/>
              <w:bottom w:w="80" w:type="dxa"/>
              <w:left w:w="120" w:type="dxa"/>
              <w:right w:w="120" w:type="dxa"/>
            </w:tcMar>
          </w:tcPr>
          <w:p>
            <w:pPr>
              <w:spacing w:before="0" w:after="40" w:line="276" w:lineRule="auto"/>
            </w:pPr>
            <w:r>
              <w:rPr>
                <w:rFonts w:ascii="Calibri" w:hAnsi="Calibri"/>
                <w:color w:val="2C3E50"/>
                <w:sz w:val="17"/>
              </w:rPr>
              <w:t>SQL commands (CREATE, ALTER, DROP) that define database schemas, tables, and constraints.</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EF Core</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Entity Framework Core</w:t>
            </w:r>
          </w:p>
        </w:tc>
        <w:tc>
          <w:tcPr>
            <w:tcW w:type="dxa" w:w="4320"/>
            <w:shd w:fill="FFFFFF"/>
            <w:tcMar>
              <w:top w:w="80" w:type="dxa"/>
              <w:bottom w:w="80" w:type="dxa"/>
              <w:left w:w="120" w:type="dxa"/>
              <w:right w:w="120" w:type="dxa"/>
            </w:tcMar>
          </w:tcPr>
          <w:p>
            <w:pPr>
              <w:spacing w:before="0" w:after="40" w:line="276" w:lineRule="auto"/>
            </w:pPr>
            <w:r>
              <w:rPr>
                <w:rFonts w:ascii="Calibri" w:hAnsi="Calibri"/>
                <w:color w:val="2C3E50"/>
                <w:sz w:val="17"/>
              </w:rPr>
              <w:t>Microsoft modern Object-Relational Mapper (ORM) for .NET executing transactional database operations.</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ERD</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Entity Relationship Diagram</w:t>
            </w:r>
          </w:p>
        </w:tc>
        <w:tc>
          <w:tcPr>
            <w:tcW w:type="dxa" w:w="4320"/>
            <w:shd w:fill="F8FAFC"/>
            <w:tcMar>
              <w:top w:w="80" w:type="dxa"/>
              <w:bottom w:w="80" w:type="dxa"/>
              <w:left w:w="120" w:type="dxa"/>
              <w:right w:w="120" w:type="dxa"/>
            </w:tcMar>
          </w:tcPr>
          <w:p>
            <w:pPr>
              <w:spacing w:before="0" w:after="40" w:line="276" w:lineRule="auto"/>
            </w:pPr>
            <w:r>
              <w:rPr>
                <w:rFonts w:ascii="Calibri" w:hAnsi="Calibri"/>
                <w:color w:val="2C3E50"/>
                <w:sz w:val="17"/>
              </w:rPr>
              <w:t>Visual graphical representation of relational database schema, entity tables, and foreign key relationships.</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ERP</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Enterprise Resource Planning</w:t>
            </w:r>
          </w:p>
        </w:tc>
        <w:tc>
          <w:tcPr>
            <w:tcW w:type="dxa" w:w="4320"/>
            <w:shd w:fill="FFFFFF"/>
            <w:tcMar>
              <w:top w:w="80" w:type="dxa"/>
              <w:bottom w:w="80" w:type="dxa"/>
              <w:left w:w="120" w:type="dxa"/>
              <w:right w:w="120" w:type="dxa"/>
            </w:tcMar>
          </w:tcPr>
          <w:p>
            <w:pPr>
              <w:spacing w:before="0" w:after="40" w:line="276" w:lineRule="auto"/>
            </w:pPr>
            <w:r>
              <w:rPr>
                <w:rFonts w:ascii="Calibri" w:hAnsi="Calibri"/>
                <w:color w:val="2C3E50"/>
                <w:sz w:val="17"/>
              </w:rPr>
              <w:t>Integrated management system managing core business processes across projects, finance, sales, and supply chain.</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GL</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General Ledger</w:t>
            </w:r>
          </w:p>
        </w:tc>
        <w:tc>
          <w:tcPr>
            <w:tcW w:type="dxa" w:w="4320"/>
            <w:shd w:fill="F8FAFC"/>
            <w:tcMar>
              <w:top w:w="80" w:type="dxa"/>
              <w:bottom w:w="80" w:type="dxa"/>
              <w:left w:w="120" w:type="dxa"/>
              <w:right w:w="120" w:type="dxa"/>
            </w:tcMar>
          </w:tcPr>
          <w:p>
            <w:pPr>
              <w:spacing w:before="0" w:after="40" w:line="276" w:lineRule="auto"/>
            </w:pPr>
            <w:r>
              <w:rPr>
                <w:rFonts w:ascii="Calibri" w:hAnsi="Calibri"/>
                <w:color w:val="2C3E50"/>
                <w:sz w:val="17"/>
              </w:rPr>
              <w:t>Primary accounting record storing all debit and credit journal entries in permanent double-entry balance.</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GRN</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Goods Receipt Note</w:t>
            </w:r>
          </w:p>
        </w:tc>
        <w:tc>
          <w:tcPr>
            <w:tcW w:type="dxa" w:w="4320"/>
            <w:shd w:fill="FFFFFF"/>
            <w:tcMar>
              <w:top w:w="80" w:type="dxa"/>
              <w:bottom w:w="80" w:type="dxa"/>
              <w:left w:w="120" w:type="dxa"/>
              <w:right w:w="120" w:type="dxa"/>
            </w:tcMar>
          </w:tcPr>
          <w:p>
            <w:pPr>
              <w:spacing w:before="0" w:after="40" w:line="276" w:lineRule="auto"/>
            </w:pPr>
            <w:r>
              <w:rPr>
                <w:rFonts w:ascii="Calibri" w:hAnsi="Calibri"/>
                <w:color w:val="2C3E50"/>
                <w:sz w:val="17"/>
              </w:rPr>
              <w:t>Warehouse document acknowledging receipt and quality inspection of procured items against a Purchase Order.</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GST</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Goods and Services Tax</w:t>
            </w:r>
          </w:p>
        </w:tc>
        <w:tc>
          <w:tcPr>
            <w:tcW w:type="dxa" w:w="4320"/>
            <w:shd w:fill="F8FAFC"/>
            <w:tcMar>
              <w:top w:w="80" w:type="dxa"/>
              <w:bottom w:w="80" w:type="dxa"/>
              <w:left w:w="120" w:type="dxa"/>
              <w:right w:w="120" w:type="dxa"/>
            </w:tcMar>
          </w:tcPr>
          <w:p>
            <w:pPr>
              <w:spacing w:before="0" w:after="40" w:line="276" w:lineRule="auto"/>
            </w:pPr>
            <w:r>
              <w:rPr>
                <w:rFonts w:ascii="Calibri" w:hAnsi="Calibri"/>
                <w:color w:val="2C3E50"/>
                <w:sz w:val="17"/>
              </w:rPr>
              <w:t>Comprehensive indirect tax levied on manufacture, sale, and consumption of goods and services in India.</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GSTIN</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GST Identification Number</w:t>
            </w:r>
          </w:p>
        </w:tc>
        <w:tc>
          <w:tcPr>
            <w:tcW w:type="dxa" w:w="4320"/>
            <w:shd w:fill="FFFFFF"/>
            <w:tcMar>
              <w:top w:w="80" w:type="dxa"/>
              <w:bottom w:w="80" w:type="dxa"/>
              <w:left w:w="120" w:type="dxa"/>
              <w:right w:w="120" w:type="dxa"/>
            </w:tcMar>
          </w:tcPr>
          <w:p>
            <w:pPr>
              <w:spacing w:before="0" w:after="40" w:line="276" w:lineRule="auto"/>
            </w:pPr>
            <w:r>
              <w:rPr>
                <w:rFonts w:ascii="Calibri" w:hAnsi="Calibri"/>
                <w:color w:val="2C3E50"/>
                <w:sz w:val="17"/>
              </w:rPr>
              <w:t>15-digit unique alphanumeric state-wise tax identifier assigned to registered business entities in India.</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GSTR-1</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GST Return 1</w:t>
            </w:r>
          </w:p>
        </w:tc>
        <w:tc>
          <w:tcPr>
            <w:tcW w:type="dxa" w:w="4320"/>
            <w:shd w:fill="F8FAFC"/>
            <w:tcMar>
              <w:top w:w="80" w:type="dxa"/>
              <w:bottom w:w="80" w:type="dxa"/>
              <w:left w:w="120" w:type="dxa"/>
              <w:right w:w="120" w:type="dxa"/>
            </w:tcMar>
          </w:tcPr>
          <w:p>
            <w:pPr>
              <w:spacing w:before="0" w:after="40" w:line="276" w:lineRule="auto"/>
            </w:pPr>
            <w:r>
              <w:rPr>
                <w:rFonts w:ascii="Calibri" w:hAnsi="Calibri"/>
                <w:color w:val="2C3E50"/>
                <w:sz w:val="17"/>
              </w:rPr>
              <w:t>Monthly/Quarterly statutory statement detailing outward supplies and sales tax invoices.</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GSTR-2B</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GST Return 2B</w:t>
            </w:r>
          </w:p>
        </w:tc>
        <w:tc>
          <w:tcPr>
            <w:tcW w:type="dxa" w:w="4320"/>
            <w:shd w:fill="FFFFFF"/>
            <w:tcMar>
              <w:top w:w="80" w:type="dxa"/>
              <w:bottom w:w="80" w:type="dxa"/>
              <w:left w:w="120" w:type="dxa"/>
              <w:right w:w="120" w:type="dxa"/>
            </w:tcMar>
          </w:tcPr>
          <w:p>
            <w:pPr>
              <w:spacing w:before="0" w:after="40" w:line="276" w:lineRule="auto"/>
            </w:pPr>
            <w:r>
              <w:rPr>
                <w:rFonts w:ascii="Calibri" w:hAnsi="Calibri"/>
                <w:color w:val="2C3E50"/>
                <w:sz w:val="17"/>
              </w:rPr>
              <w:t>Auto-drafted read-only Input Tax Credit (ITC) statement generated by the GST Portal from supplier filings.</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GSTR-3B</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GST Return 3B</w:t>
            </w:r>
          </w:p>
        </w:tc>
        <w:tc>
          <w:tcPr>
            <w:tcW w:type="dxa" w:w="4320"/>
            <w:shd w:fill="F8FAFC"/>
            <w:tcMar>
              <w:top w:w="80" w:type="dxa"/>
              <w:bottom w:w="80" w:type="dxa"/>
              <w:left w:w="120" w:type="dxa"/>
              <w:right w:w="120" w:type="dxa"/>
            </w:tcMar>
          </w:tcPr>
          <w:p>
            <w:pPr>
              <w:spacing w:before="0" w:after="40" w:line="276" w:lineRule="auto"/>
            </w:pPr>
            <w:r>
              <w:rPr>
                <w:rFonts w:ascii="Calibri" w:hAnsi="Calibri"/>
                <w:color w:val="2C3E50"/>
                <w:sz w:val="17"/>
              </w:rPr>
              <w:t>Monthly self-declared summary GST return declaring tax liabilities, claiming ITC, and recording net tax paid.</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HSN / SAC</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Harmonized System of Nomenclature / Services Accounting Code</w:t>
            </w:r>
          </w:p>
        </w:tc>
        <w:tc>
          <w:tcPr>
            <w:tcW w:type="dxa" w:w="4320"/>
            <w:shd w:fill="FFFFFF"/>
            <w:tcMar>
              <w:top w:w="80" w:type="dxa"/>
              <w:bottom w:w="80" w:type="dxa"/>
              <w:left w:w="120" w:type="dxa"/>
              <w:right w:w="120" w:type="dxa"/>
            </w:tcMar>
          </w:tcPr>
          <w:p>
            <w:pPr>
              <w:spacing w:before="0" w:after="40" w:line="276" w:lineRule="auto"/>
            </w:pPr>
            <w:r>
              <w:rPr>
                <w:rFonts w:ascii="Calibri" w:hAnsi="Calibri"/>
                <w:color w:val="2C3E50"/>
                <w:sz w:val="17"/>
              </w:rPr>
              <w:t>Standardized commodity/service classification codes mandated for statutory GST invoicing.</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HSTS</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HTTP Strict Transport Security</w:t>
            </w:r>
          </w:p>
        </w:tc>
        <w:tc>
          <w:tcPr>
            <w:tcW w:type="dxa" w:w="4320"/>
            <w:shd w:fill="F8FAFC"/>
            <w:tcMar>
              <w:top w:w="80" w:type="dxa"/>
              <w:bottom w:w="80" w:type="dxa"/>
              <w:left w:w="120" w:type="dxa"/>
              <w:right w:w="120" w:type="dxa"/>
            </w:tcMar>
          </w:tcPr>
          <w:p>
            <w:pPr>
              <w:spacing w:before="0" w:after="40" w:line="276" w:lineRule="auto"/>
            </w:pPr>
            <w:r>
              <w:rPr>
                <w:rFonts w:ascii="Calibri" w:hAnsi="Calibri"/>
                <w:color w:val="2C3E50"/>
                <w:sz w:val="17"/>
              </w:rPr>
              <w:t>Security header forcing browsers to communicate exclusively over encrypted HTTPS connections.</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IDOR</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Insecure Direct Object Reference</w:t>
            </w:r>
          </w:p>
        </w:tc>
        <w:tc>
          <w:tcPr>
            <w:tcW w:type="dxa" w:w="4320"/>
            <w:shd w:fill="FFFFFF"/>
            <w:tcMar>
              <w:top w:w="80" w:type="dxa"/>
              <w:bottom w:w="80" w:type="dxa"/>
              <w:left w:w="120" w:type="dxa"/>
              <w:right w:w="120" w:type="dxa"/>
            </w:tcMar>
          </w:tcPr>
          <w:p>
            <w:pPr>
              <w:spacing w:before="0" w:after="40" w:line="276" w:lineRule="auto"/>
            </w:pPr>
            <w:r>
              <w:rPr>
                <w:rFonts w:ascii="Calibri" w:hAnsi="Calibri"/>
                <w:color w:val="2C3E50"/>
                <w:sz w:val="17"/>
              </w:rPr>
              <w:t>Access control vulnerability prevented by enforcing tenant and branch context filters on all DB queries.</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IFSC</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Indian Financial System Code</w:t>
            </w:r>
          </w:p>
        </w:tc>
        <w:tc>
          <w:tcPr>
            <w:tcW w:type="dxa" w:w="4320"/>
            <w:shd w:fill="F8FAFC"/>
            <w:tcMar>
              <w:top w:w="80" w:type="dxa"/>
              <w:bottom w:w="80" w:type="dxa"/>
              <w:left w:w="120" w:type="dxa"/>
              <w:right w:w="120" w:type="dxa"/>
            </w:tcMar>
          </w:tcPr>
          <w:p>
            <w:pPr>
              <w:spacing w:before="0" w:after="40" w:line="276" w:lineRule="auto"/>
            </w:pPr>
            <w:r>
              <w:rPr>
                <w:rFonts w:ascii="Calibri" w:hAnsi="Calibri"/>
                <w:color w:val="2C3E50"/>
                <w:sz w:val="17"/>
              </w:rPr>
              <w:t>11-character alphanumeric code identifying bank branches for NEFT, RTGS, and IMPS fund transfers.</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IGST</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Integrated Goods and Services Tax</w:t>
            </w:r>
          </w:p>
        </w:tc>
        <w:tc>
          <w:tcPr>
            <w:tcW w:type="dxa" w:w="4320"/>
            <w:shd w:fill="FFFFFF"/>
            <w:tcMar>
              <w:top w:w="80" w:type="dxa"/>
              <w:bottom w:w="80" w:type="dxa"/>
              <w:left w:w="120" w:type="dxa"/>
              <w:right w:w="120" w:type="dxa"/>
            </w:tcMar>
          </w:tcPr>
          <w:p>
            <w:pPr>
              <w:spacing w:before="0" w:after="40" w:line="276" w:lineRule="auto"/>
            </w:pPr>
            <w:r>
              <w:rPr>
                <w:rFonts w:ascii="Calibri" w:hAnsi="Calibri"/>
                <w:color w:val="2C3E50"/>
                <w:sz w:val="17"/>
              </w:rPr>
              <w:t>Tax levied on inter-state supplies of goods and services and imports into India.</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ITC</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Input Tax Credit</w:t>
            </w:r>
          </w:p>
        </w:tc>
        <w:tc>
          <w:tcPr>
            <w:tcW w:type="dxa" w:w="4320"/>
            <w:shd w:fill="F8FAFC"/>
            <w:tcMar>
              <w:top w:w="80" w:type="dxa"/>
              <w:bottom w:w="80" w:type="dxa"/>
              <w:left w:w="120" w:type="dxa"/>
              <w:right w:w="120" w:type="dxa"/>
            </w:tcMar>
          </w:tcPr>
          <w:p>
            <w:pPr>
              <w:spacing w:before="0" w:after="40" w:line="276" w:lineRule="auto"/>
            </w:pPr>
            <w:r>
              <w:rPr>
                <w:rFonts w:ascii="Calibri" w:hAnsi="Calibri"/>
                <w:color w:val="2C3E50"/>
                <w:sz w:val="17"/>
              </w:rPr>
              <w:t>Taxes paid on business purchase inputs that can be legally offset against output tax liability on sales.</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JV</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Journal Voucher</w:t>
            </w:r>
          </w:p>
        </w:tc>
        <w:tc>
          <w:tcPr>
            <w:tcW w:type="dxa" w:w="4320"/>
            <w:shd w:fill="FFFFFF"/>
            <w:tcMar>
              <w:top w:w="80" w:type="dxa"/>
              <w:bottom w:w="80" w:type="dxa"/>
              <w:left w:w="120" w:type="dxa"/>
              <w:right w:w="120" w:type="dxa"/>
            </w:tcMar>
          </w:tcPr>
          <w:p>
            <w:pPr>
              <w:spacing w:before="0" w:after="40" w:line="276" w:lineRule="auto"/>
            </w:pPr>
            <w:r>
              <w:rPr>
                <w:rFonts w:ascii="Calibri" w:hAnsi="Calibri"/>
                <w:color w:val="2C3E50"/>
                <w:sz w:val="17"/>
              </w:rPr>
              <w:t>Fundamental double-entry accounting record containing balanced debit and credit ledger postings.</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MFA / TOTP</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Multi-Factor Authentication / Time-Based One-Time Password</w:t>
            </w:r>
          </w:p>
        </w:tc>
        <w:tc>
          <w:tcPr>
            <w:tcW w:type="dxa" w:w="4320"/>
            <w:shd w:fill="F8FAFC"/>
            <w:tcMar>
              <w:top w:w="80" w:type="dxa"/>
              <w:bottom w:w="80" w:type="dxa"/>
              <w:left w:w="120" w:type="dxa"/>
              <w:right w:w="120" w:type="dxa"/>
            </w:tcMar>
          </w:tcPr>
          <w:p>
            <w:pPr>
              <w:spacing w:before="0" w:after="40" w:line="276" w:lineRule="auto"/>
            </w:pPr>
            <w:r>
              <w:rPr>
                <w:rFonts w:ascii="Calibri" w:hAnsi="Calibri"/>
                <w:color w:val="2C3E50"/>
                <w:sz w:val="17"/>
              </w:rPr>
              <w:t>Two-step verification mechanism generating dynamic 6-digit codes for privileged administrative roles.</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MSME</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Micro, Small and Medium Enterprises</w:t>
            </w:r>
          </w:p>
        </w:tc>
        <w:tc>
          <w:tcPr>
            <w:tcW w:type="dxa" w:w="4320"/>
            <w:shd w:fill="FFFFFF"/>
            <w:tcMar>
              <w:top w:w="80" w:type="dxa"/>
              <w:bottom w:w="80" w:type="dxa"/>
              <w:left w:w="120" w:type="dxa"/>
              <w:right w:w="120" w:type="dxa"/>
            </w:tcMar>
          </w:tcPr>
          <w:p>
            <w:pPr>
              <w:spacing w:before="0" w:after="40" w:line="276" w:lineRule="auto"/>
            </w:pPr>
            <w:r>
              <w:rPr>
                <w:rFonts w:ascii="Calibri" w:hAnsi="Calibri"/>
                <w:color w:val="2C3E50"/>
                <w:sz w:val="17"/>
              </w:rPr>
              <w:t>Government classification determining vendor statutory payment priority and reporting compliance.</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MVC</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Model-View-Controller</w:t>
            </w:r>
          </w:p>
        </w:tc>
        <w:tc>
          <w:tcPr>
            <w:tcW w:type="dxa" w:w="4320"/>
            <w:shd w:fill="F8FAFC"/>
            <w:tcMar>
              <w:top w:w="80" w:type="dxa"/>
              <w:bottom w:w="80" w:type="dxa"/>
              <w:left w:w="120" w:type="dxa"/>
              <w:right w:w="120" w:type="dxa"/>
            </w:tcMar>
          </w:tcPr>
          <w:p>
            <w:pPr>
              <w:spacing w:before="0" w:after="40" w:line="276" w:lineRule="auto"/>
            </w:pPr>
            <w:r>
              <w:rPr>
                <w:rFonts w:ascii="Calibri" w:hAnsi="Calibri"/>
                <w:color w:val="2C3E50"/>
                <w:sz w:val="17"/>
              </w:rPr>
              <w:t>Software architectural pattern separating data models, user interface views, and controller logic.</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OWASP</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Open Web Application Security Project</w:t>
            </w:r>
          </w:p>
        </w:tc>
        <w:tc>
          <w:tcPr>
            <w:tcW w:type="dxa" w:w="4320"/>
            <w:shd w:fill="FFFFFF"/>
            <w:tcMar>
              <w:top w:w="80" w:type="dxa"/>
              <w:bottom w:w="80" w:type="dxa"/>
              <w:left w:w="120" w:type="dxa"/>
              <w:right w:w="120" w:type="dxa"/>
            </w:tcMar>
          </w:tcPr>
          <w:p>
            <w:pPr>
              <w:spacing w:before="0" w:after="40" w:line="276" w:lineRule="auto"/>
            </w:pPr>
            <w:r>
              <w:rPr>
                <w:rFonts w:ascii="Calibri" w:hAnsi="Calibri"/>
                <w:color w:val="2C3E50"/>
                <w:sz w:val="17"/>
              </w:rPr>
              <w:t>International non-profit organization focused on improving software security and publishing top risk standards.</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P&amp;L</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Profit and Loss Statement</w:t>
            </w:r>
          </w:p>
        </w:tc>
        <w:tc>
          <w:tcPr>
            <w:tcW w:type="dxa" w:w="4320"/>
            <w:shd w:fill="F8FAFC"/>
            <w:tcMar>
              <w:top w:w="80" w:type="dxa"/>
              <w:bottom w:w="80" w:type="dxa"/>
              <w:left w:w="120" w:type="dxa"/>
              <w:right w:w="120" w:type="dxa"/>
            </w:tcMar>
          </w:tcPr>
          <w:p>
            <w:pPr>
              <w:spacing w:before="0" w:after="40" w:line="276" w:lineRule="auto"/>
            </w:pPr>
            <w:r>
              <w:rPr>
                <w:rFonts w:ascii="Calibri" w:hAnsi="Calibri"/>
                <w:color w:val="2C3E50"/>
                <w:sz w:val="17"/>
              </w:rPr>
              <w:t>Financial statement summarizing revenues, direct costs, and expenses to determine project/company net profitability.</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PAN</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Permanent Account Number</w:t>
            </w:r>
          </w:p>
        </w:tc>
        <w:tc>
          <w:tcPr>
            <w:tcW w:type="dxa" w:w="4320"/>
            <w:shd w:fill="FFFFFF"/>
            <w:tcMar>
              <w:top w:w="80" w:type="dxa"/>
              <w:bottom w:w="80" w:type="dxa"/>
              <w:left w:w="120" w:type="dxa"/>
              <w:right w:w="120" w:type="dxa"/>
            </w:tcMar>
          </w:tcPr>
          <w:p>
            <w:pPr>
              <w:spacing w:before="0" w:after="40" w:line="276" w:lineRule="auto"/>
            </w:pPr>
            <w:r>
              <w:rPr>
                <w:rFonts w:ascii="Calibri" w:hAnsi="Calibri"/>
                <w:color w:val="2C3E50"/>
                <w:sz w:val="17"/>
              </w:rPr>
              <w:t>10-digit alphanumeric identifier issued by the Indian Income Tax Department to business entities and individuals.</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PF / PT</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Provident Fund / Professional Tax</w:t>
            </w:r>
          </w:p>
        </w:tc>
        <w:tc>
          <w:tcPr>
            <w:tcW w:type="dxa" w:w="4320"/>
            <w:shd w:fill="F8FAFC"/>
            <w:tcMar>
              <w:top w:w="80" w:type="dxa"/>
              <w:bottom w:w="80" w:type="dxa"/>
              <w:left w:w="120" w:type="dxa"/>
              <w:right w:w="120" w:type="dxa"/>
            </w:tcMar>
          </w:tcPr>
          <w:p>
            <w:pPr>
              <w:spacing w:before="0" w:after="40" w:line="276" w:lineRule="auto"/>
            </w:pPr>
            <w:r>
              <w:rPr>
                <w:rFonts w:ascii="Calibri" w:hAnsi="Calibri"/>
                <w:color w:val="2C3E50"/>
                <w:sz w:val="17"/>
              </w:rPr>
              <w:t>Mandatory statutory payroll deductions contributed towards employee retirement and state tax.</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PO</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Purchase Order</w:t>
            </w:r>
          </w:p>
        </w:tc>
        <w:tc>
          <w:tcPr>
            <w:tcW w:type="dxa" w:w="4320"/>
            <w:shd w:fill="FFFFFF"/>
            <w:tcMar>
              <w:top w:w="80" w:type="dxa"/>
              <w:bottom w:w="80" w:type="dxa"/>
              <w:left w:w="120" w:type="dxa"/>
              <w:right w:w="120" w:type="dxa"/>
            </w:tcMar>
          </w:tcPr>
          <w:p>
            <w:pPr>
              <w:spacing w:before="0" w:after="40" w:line="276" w:lineRule="auto"/>
            </w:pPr>
            <w:r>
              <w:rPr>
                <w:rFonts w:ascii="Calibri" w:hAnsi="Calibri"/>
                <w:color w:val="2C3E50"/>
                <w:sz w:val="17"/>
              </w:rPr>
              <w:t>Legally binding commercial document issued by buyer to vendor specifying quantities and agreed prices.</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POCO</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Plain Old CLR Object</w:t>
            </w:r>
          </w:p>
        </w:tc>
        <w:tc>
          <w:tcPr>
            <w:tcW w:type="dxa" w:w="4320"/>
            <w:shd w:fill="F8FAFC"/>
            <w:tcMar>
              <w:top w:w="80" w:type="dxa"/>
              <w:bottom w:w="80" w:type="dxa"/>
              <w:left w:w="120" w:type="dxa"/>
              <w:right w:w="120" w:type="dxa"/>
            </w:tcMar>
          </w:tcPr>
          <w:p>
            <w:pPr>
              <w:spacing w:before="0" w:after="40" w:line="276" w:lineRule="auto"/>
            </w:pPr>
            <w:r>
              <w:rPr>
                <w:rFonts w:ascii="Calibri" w:hAnsi="Calibri"/>
                <w:color w:val="2C3E50"/>
                <w:sz w:val="17"/>
              </w:rPr>
              <w:t>Pure C# entity class unencumbered by inheritance from framework-specific base classes.</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PR</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Purchase Requisition</w:t>
            </w:r>
          </w:p>
        </w:tc>
        <w:tc>
          <w:tcPr>
            <w:tcW w:type="dxa" w:w="4320"/>
            <w:shd w:fill="FFFFFF"/>
            <w:tcMar>
              <w:top w:w="80" w:type="dxa"/>
              <w:bottom w:w="80" w:type="dxa"/>
              <w:left w:w="120" w:type="dxa"/>
              <w:right w:w="120" w:type="dxa"/>
            </w:tcMar>
          </w:tcPr>
          <w:p>
            <w:pPr>
              <w:spacing w:before="0" w:after="40" w:line="276" w:lineRule="auto"/>
            </w:pPr>
            <w:r>
              <w:rPr>
                <w:rFonts w:ascii="Calibri" w:hAnsi="Calibri"/>
                <w:color w:val="2C3E50"/>
                <w:sz w:val="17"/>
              </w:rPr>
              <w:t>Internal document created by project teams to formally request procurement of materials or services.</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RBAC</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Role-Based Access Control</w:t>
            </w:r>
          </w:p>
        </w:tc>
        <w:tc>
          <w:tcPr>
            <w:tcW w:type="dxa" w:w="4320"/>
            <w:shd w:fill="F8FAFC"/>
            <w:tcMar>
              <w:top w:w="80" w:type="dxa"/>
              <w:bottom w:w="80" w:type="dxa"/>
              <w:left w:w="120" w:type="dxa"/>
              <w:right w:w="120" w:type="dxa"/>
            </w:tcMar>
          </w:tcPr>
          <w:p>
            <w:pPr>
              <w:spacing w:before="0" w:after="40" w:line="276" w:lineRule="auto"/>
            </w:pPr>
            <w:r>
              <w:rPr>
                <w:rFonts w:ascii="Calibri" w:hAnsi="Calibri"/>
                <w:color w:val="2C3E50"/>
                <w:sz w:val="17"/>
              </w:rPr>
              <w:t>Security mechanism restricting system access based on user role assignments and granular permissions.</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RCM</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Reverse Charge Mechanism</w:t>
            </w:r>
          </w:p>
        </w:tc>
        <w:tc>
          <w:tcPr>
            <w:tcW w:type="dxa" w:w="4320"/>
            <w:shd w:fill="FFFFFF"/>
            <w:tcMar>
              <w:top w:w="80" w:type="dxa"/>
              <w:bottom w:w="80" w:type="dxa"/>
              <w:left w:w="120" w:type="dxa"/>
              <w:right w:w="120" w:type="dxa"/>
            </w:tcMar>
          </w:tcPr>
          <w:p>
            <w:pPr>
              <w:spacing w:before="0" w:after="40" w:line="276" w:lineRule="auto"/>
            </w:pPr>
            <w:r>
              <w:rPr>
                <w:rFonts w:ascii="Calibri" w:hAnsi="Calibri"/>
                <w:color w:val="2C3E50"/>
                <w:sz w:val="17"/>
              </w:rPr>
              <w:t>GST rule where recipient of goods/services is liable to pay tax instead of the supplier.</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SAST</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Static Application Security Testing</w:t>
            </w:r>
          </w:p>
        </w:tc>
        <w:tc>
          <w:tcPr>
            <w:tcW w:type="dxa" w:w="4320"/>
            <w:shd w:fill="F8FAFC"/>
            <w:tcMar>
              <w:top w:w="80" w:type="dxa"/>
              <w:bottom w:w="80" w:type="dxa"/>
              <w:left w:w="120" w:type="dxa"/>
              <w:right w:w="120" w:type="dxa"/>
            </w:tcMar>
          </w:tcPr>
          <w:p>
            <w:pPr>
              <w:spacing w:before="0" w:after="40" w:line="276" w:lineRule="auto"/>
            </w:pPr>
            <w:r>
              <w:rPr>
                <w:rFonts w:ascii="Calibri" w:hAnsi="Calibri"/>
                <w:color w:val="2C3E50"/>
                <w:sz w:val="17"/>
              </w:rPr>
              <w:t>White-box source code security analysis detecting vulnerabilities and hardcoded secrets (Roslyn, SonarQube).</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SGST</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State Goods and Services Tax</w:t>
            </w:r>
          </w:p>
        </w:tc>
        <w:tc>
          <w:tcPr>
            <w:tcW w:type="dxa" w:w="4320"/>
            <w:shd w:fill="FFFFFF"/>
            <w:tcMar>
              <w:top w:w="80" w:type="dxa"/>
              <w:bottom w:w="80" w:type="dxa"/>
              <w:left w:w="120" w:type="dxa"/>
              <w:right w:w="120" w:type="dxa"/>
            </w:tcMar>
          </w:tcPr>
          <w:p>
            <w:pPr>
              <w:spacing w:before="0" w:after="40" w:line="276" w:lineRule="auto"/>
            </w:pPr>
            <w:r>
              <w:rPr>
                <w:rFonts w:ascii="Calibri" w:hAnsi="Calibri"/>
                <w:color w:val="2C3E50"/>
                <w:sz w:val="17"/>
              </w:rPr>
              <w:t>Tax levied by Indian State Governments on intra-state supplies of goods and services.</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SHA-256</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Secure Hash Algorithm (256-bit)</w:t>
            </w:r>
          </w:p>
        </w:tc>
        <w:tc>
          <w:tcPr>
            <w:tcW w:type="dxa" w:w="4320"/>
            <w:shd w:fill="F8FAFC"/>
            <w:tcMar>
              <w:top w:w="80" w:type="dxa"/>
              <w:bottom w:w="80" w:type="dxa"/>
              <w:left w:w="120" w:type="dxa"/>
              <w:right w:w="120" w:type="dxa"/>
            </w:tcMar>
          </w:tcPr>
          <w:p>
            <w:pPr>
              <w:spacing w:before="0" w:after="40" w:line="276" w:lineRule="auto"/>
            </w:pPr>
            <w:r>
              <w:rPr>
                <w:rFonts w:ascii="Calibri" w:hAnsi="Calibri"/>
                <w:color w:val="2C3E50"/>
                <w:sz w:val="17"/>
              </w:rPr>
              <w:t>Cryptographic hashing function used in audit logging to generate tamper-evident chained audit records.</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SQLi</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SQL Injection</w:t>
            </w:r>
          </w:p>
        </w:tc>
        <w:tc>
          <w:tcPr>
            <w:tcW w:type="dxa" w:w="4320"/>
            <w:shd w:fill="FFFFFF"/>
            <w:tcMar>
              <w:top w:w="80" w:type="dxa"/>
              <w:bottom w:w="80" w:type="dxa"/>
              <w:left w:w="120" w:type="dxa"/>
              <w:right w:w="120" w:type="dxa"/>
            </w:tcMar>
          </w:tcPr>
          <w:p>
            <w:pPr>
              <w:spacing w:before="0" w:after="40" w:line="276" w:lineRule="auto"/>
            </w:pPr>
            <w:r>
              <w:rPr>
                <w:rFonts w:ascii="Calibri" w:hAnsi="Calibri"/>
                <w:color w:val="2C3E50"/>
                <w:sz w:val="17"/>
              </w:rPr>
              <w:t>Database security vulnerability eliminated via 100% parameterized EF Core LINQ and Dapper @param queries.</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SRS</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Software Requirements Specification</w:t>
            </w:r>
          </w:p>
        </w:tc>
        <w:tc>
          <w:tcPr>
            <w:tcW w:type="dxa" w:w="4320"/>
            <w:shd w:fill="F8FAFC"/>
            <w:tcMar>
              <w:top w:w="80" w:type="dxa"/>
              <w:bottom w:w="80" w:type="dxa"/>
              <w:left w:w="120" w:type="dxa"/>
              <w:right w:w="120" w:type="dxa"/>
            </w:tcMar>
          </w:tcPr>
          <w:p>
            <w:pPr>
              <w:spacing w:before="0" w:after="40" w:line="276" w:lineRule="auto"/>
            </w:pPr>
            <w:r>
              <w:rPr>
                <w:rFonts w:ascii="Calibri" w:hAnsi="Calibri"/>
                <w:color w:val="2C3E50"/>
                <w:sz w:val="17"/>
              </w:rPr>
              <w:t>Definitive technical requirements document detailing functional, database, and system specifications.</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STRIDE</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Threat Modeling Framework</w:t>
            </w:r>
          </w:p>
        </w:tc>
        <w:tc>
          <w:tcPr>
            <w:tcW w:type="dxa" w:w="4320"/>
            <w:shd w:fill="FFFFFF"/>
            <w:tcMar>
              <w:top w:w="80" w:type="dxa"/>
              <w:bottom w:w="80" w:type="dxa"/>
              <w:left w:w="120" w:type="dxa"/>
              <w:right w:w="120" w:type="dxa"/>
            </w:tcMar>
          </w:tcPr>
          <w:p>
            <w:pPr>
              <w:spacing w:before="0" w:after="40" w:line="276" w:lineRule="auto"/>
            </w:pPr>
            <w:r>
              <w:rPr>
                <w:rFonts w:ascii="Calibri" w:hAnsi="Calibri"/>
                <w:color w:val="2C3E50"/>
                <w:sz w:val="17"/>
              </w:rPr>
              <w:t>Security framework analyzing Spoofing, Tampering, Repudiation, Info Disclosure, DoS, and Elevation of Privilege.</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TB</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Trial Balance</w:t>
            </w:r>
          </w:p>
        </w:tc>
        <w:tc>
          <w:tcPr>
            <w:tcW w:type="dxa" w:w="4320"/>
            <w:shd w:fill="F8FAFC"/>
            <w:tcMar>
              <w:top w:w="80" w:type="dxa"/>
              <w:bottom w:w="80" w:type="dxa"/>
              <w:left w:w="120" w:type="dxa"/>
              <w:right w:w="120" w:type="dxa"/>
            </w:tcMar>
          </w:tcPr>
          <w:p>
            <w:pPr>
              <w:spacing w:before="0" w:after="40" w:line="276" w:lineRule="auto"/>
            </w:pPr>
            <w:r>
              <w:rPr>
                <w:rFonts w:ascii="Calibri" w:hAnsi="Calibri"/>
                <w:color w:val="2C3E50"/>
                <w:sz w:val="17"/>
              </w:rPr>
              <w:t>Accounting report listing all general ledger account balances to verify mathematical debit/credit equilibrium.</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TDS</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Tax Deducted at Source</w:t>
            </w:r>
          </w:p>
        </w:tc>
        <w:tc>
          <w:tcPr>
            <w:tcW w:type="dxa" w:w="4320"/>
            <w:shd w:fill="FFFFFF"/>
            <w:tcMar>
              <w:top w:w="80" w:type="dxa"/>
              <w:bottom w:w="80" w:type="dxa"/>
              <w:left w:w="120" w:type="dxa"/>
              <w:right w:w="120" w:type="dxa"/>
            </w:tcMar>
          </w:tcPr>
          <w:p>
            <w:pPr>
              <w:spacing w:before="0" w:after="40" w:line="276" w:lineRule="auto"/>
            </w:pPr>
            <w:r>
              <w:rPr>
                <w:rFonts w:ascii="Calibri" w:hAnsi="Calibri"/>
                <w:color w:val="2C3E50"/>
                <w:sz w:val="17"/>
              </w:rPr>
              <w:t>Direct taxation withholding mechanism (e.g., Section 194C for contractors, Section 194J for professional fees).</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UAT</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User Acceptance Testing</w:t>
            </w:r>
          </w:p>
        </w:tc>
        <w:tc>
          <w:tcPr>
            <w:tcW w:type="dxa" w:w="4320"/>
            <w:shd w:fill="F8FAFC"/>
            <w:tcMar>
              <w:top w:w="80" w:type="dxa"/>
              <w:bottom w:w="80" w:type="dxa"/>
              <w:left w:w="120" w:type="dxa"/>
              <w:right w:w="120" w:type="dxa"/>
            </w:tcMar>
          </w:tcPr>
          <w:p>
            <w:pPr>
              <w:spacing w:before="0" w:after="40" w:line="276" w:lineRule="auto"/>
            </w:pPr>
            <w:r>
              <w:rPr>
                <w:rFonts w:ascii="Calibri" w:hAnsi="Calibri"/>
                <w:color w:val="2C3E50"/>
                <w:sz w:val="17"/>
              </w:rPr>
              <w:t>Final validation phase where end users verify workflows against formal business test scenarios.</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UTR</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Unique Transaction Reference</w:t>
            </w:r>
          </w:p>
        </w:tc>
        <w:tc>
          <w:tcPr>
            <w:tcW w:type="dxa" w:w="4320"/>
            <w:shd w:fill="FFFFFF"/>
            <w:tcMar>
              <w:top w:w="80" w:type="dxa"/>
              <w:bottom w:w="80" w:type="dxa"/>
              <w:left w:w="120" w:type="dxa"/>
              <w:right w:w="120" w:type="dxa"/>
            </w:tcMar>
          </w:tcPr>
          <w:p>
            <w:pPr>
              <w:spacing w:before="0" w:after="40" w:line="276" w:lineRule="auto"/>
            </w:pPr>
            <w:r>
              <w:rPr>
                <w:rFonts w:ascii="Calibri" w:hAnsi="Calibri"/>
                <w:color w:val="2C3E50"/>
                <w:sz w:val="17"/>
              </w:rPr>
              <w:t>Banking reference number identifying electronic fund transfers (NEFT/RTGS) for payment reconciliation.</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VAPT</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Vulnerability Assessment &amp; Penetration Testing</w:t>
            </w:r>
          </w:p>
        </w:tc>
        <w:tc>
          <w:tcPr>
            <w:tcW w:type="dxa" w:w="4320"/>
            <w:shd w:fill="F8FAFC"/>
            <w:tcMar>
              <w:top w:w="80" w:type="dxa"/>
              <w:bottom w:w="80" w:type="dxa"/>
              <w:left w:w="120" w:type="dxa"/>
              <w:right w:w="120" w:type="dxa"/>
            </w:tcMar>
          </w:tcPr>
          <w:p>
            <w:pPr>
              <w:spacing w:before="0" w:after="40" w:line="276" w:lineRule="auto"/>
            </w:pPr>
            <w:r>
              <w:rPr>
                <w:rFonts w:ascii="Calibri" w:hAnsi="Calibri"/>
                <w:color w:val="2C3E50"/>
                <w:sz w:val="17"/>
              </w:rPr>
              <w:t>Comprehensive security auditing methodology combining automated vulnerability scans and manual ethical hacking.</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WDV</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Written Down Value</w:t>
            </w:r>
          </w:p>
        </w:tc>
        <w:tc>
          <w:tcPr>
            <w:tcW w:type="dxa" w:w="4320"/>
            <w:shd w:fill="FFFFFF"/>
            <w:tcMar>
              <w:top w:w="80" w:type="dxa"/>
              <w:bottom w:w="80" w:type="dxa"/>
              <w:left w:w="120" w:type="dxa"/>
              <w:right w:w="120" w:type="dxa"/>
            </w:tcMar>
          </w:tcPr>
          <w:p>
            <w:pPr>
              <w:spacing w:before="0" w:after="40" w:line="276" w:lineRule="auto"/>
            </w:pPr>
            <w:r>
              <w:rPr>
                <w:rFonts w:ascii="Calibri" w:hAnsi="Calibri"/>
                <w:color w:val="2C3E50"/>
                <w:sz w:val="17"/>
              </w:rPr>
              <w:t>Asset accounting depreciation method calculating book value reduction based on asset lifespan and usage.</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XSS</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Cross-Site Scripting</w:t>
            </w:r>
          </w:p>
        </w:tc>
        <w:tc>
          <w:tcPr>
            <w:tcW w:type="dxa" w:w="4320"/>
            <w:shd w:fill="F8FAFC"/>
            <w:tcMar>
              <w:top w:w="80" w:type="dxa"/>
              <w:bottom w:w="80" w:type="dxa"/>
              <w:left w:w="120" w:type="dxa"/>
              <w:right w:w="120" w:type="dxa"/>
            </w:tcMar>
          </w:tcPr>
          <w:p>
            <w:pPr>
              <w:spacing w:before="0" w:after="40" w:line="276" w:lineRule="auto"/>
            </w:pPr>
            <w:r>
              <w:rPr>
                <w:rFonts w:ascii="Calibri" w:hAnsi="Calibri"/>
                <w:color w:val="2C3E50"/>
                <w:sz w:val="17"/>
              </w:rPr>
              <w:t>Client-side code injection attack mitigated by automatic Razor HTML output encoding.</w:t>
            </w:r>
          </w:p>
        </w:tc>
      </w:tr>
    </w:tbl>
    <w:p>
      <w:pPr>
        <w:spacing w:before="0" w:after="120"/>
      </w:pPr>
    </w:p>
    <w:p>
      <w:r>
        <w:br w:type="page"/>
      </w:r>
    </w:p>
    <w:p>
      <w:pPr>
        <w:keepNext/>
        <w:spacing w:before="360" w:after="120"/>
      </w:pPr>
      <w:r>
        <w:rPr>
          <w:rFonts w:ascii="Calibri" w:hAnsi="Calibri"/>
          <w:b/>
          <w:color w:val="1B365D"/>
          <w:sz w:val="30"/>
        </w:rPr>
        <w:t>1. Executive Summary &amp; Purpose</w:t>
      </w:r>
    </w:p>
    <w:p>
      <w:pPr>
        <w:spacing w:before="0" w:after="80" w:line="276" w:lineRule="auto"/>
      </w:pPr>
      <w:r>
        <w:rPr>
          <w:rFonts w:ascii="Calibri" w:hAnsi="Calibri"/>
          <w:color w:val="2C3E50"/>
          <w:sz w:val="20"/>
        </w:rPr>
        <w:t>This document defines the definitive functional architecture, user workflows, operational controls, double-entry financial logic, comprehensive database schema, entity-relationship diagrams (ERDs), and implementation standards for the SDK Solutions Enterprise Resource Planning (ERP) System.</w:t>
      </w:r>
    </w:p>
    <w:p>
      <w:pPr>
        <w:spacing w:before="0" w:after="80" w:line="276" w:lineRule="auto"/>
      </w:pPr>
      <w:r>
        <w:rPr>
          <w:rFonts w:ascii="Calibri" w:hAnsi="Calibri"/>
          <w:color w:val="2C3E50"/>
          <w:sz w:val="20"/>
        </w:rPr>
        <w:t>The primary objective of the SDK Solutions ERP is to unify corporate operations into a single, cohesive, project-centric digital ecosystem. Unlike generic ERPs that treat modules as siloed databases, SDK ERP connects client relationships, multi-stage project delivery, sales invoicing, vendor procurement, consumable office inventory, statutory GST compliance, multi-bank reconciliation, payroll processing, and executive profit-and-loss reporting into an unbroken, automated transaction chain.</w:t>
      </w:r>
    </w:p>
    <w:tbl>
      <w:tblPr>
        <w:tblW w:type="auto" w:w="0"/>
        <w:jc w:val="center"/>
        <w:tblLook w:firstColumn="1" w:firstRow="1" w:lastColumn="0" w:lastRow="0" w:noHBand="0" w:noVBand="1" w:val="04A0"/>
      </w:tblPr>
      <w:tblGrid>
        <w:gridCol w:w="9936"/>
      </w:tblGrid>
      <w:tr>
        <w:tc>
          <w:tcPr>
            <w:tcW w:type="dxa" w:w="9936"/>
            <w:shd w:fill="F0F4F8"/>
            <w:tcMar>
              <w:top w:w="120" w:type="dxa"/>
              <w:bottom w:w="120" w:type="dxa"/>
              <w:left w:w="180" w:type="dxa"/>
              <w:right w:w="180" w:type="dxa"/>
            </w:tcMar>
            <w:tcBorders>
              <w:left w:val="single" w:sz="36" w:space="0" w:color="1B365D"/>
              <w:top w:val="none"/>
              <w:right w:val="none"/>
              <w:bottom w:val="none"/>
            </w:tcBorders>
          </w:tcPr>
          <w:p>
            <w:pPr>
              <w:spacing w:before="0" w:after="40"/>
            </w:pPr>
            <w:r>
              <w:rPr>
                <w:rFonts w:ascii="Calibri" w:hAnsi="Calibri"/>
                <w:b/>
                <w:color w:val="1B365D"/>
                <w:sz w:val="19"/>
              </w:rPr>
              <w:t xml:space="preserve">[MANDATORY ARCHITECTURAL BASELINE] </w:t>
            </w:r>
            <w:r>
              <w:rPr>
                <w:rFonts w:ascii="Calibri" w:hAnsi="Calibri"/>
                <w:color w:val="2C3E50"/>
                <w:sz w:val="19"/>
              </w:rPr>
              <w:t>This document serves as the master engineering baseline. All frontend layouts, REST APIs, database schemas, stored procedures, state machines, and automated test cases must strictly comply with the requirements and constraints detailed herein.</w:t>
            </w:r>
          </w:p>
        </w:tc>
      </w:tr>
    </w:tbl>
    <w:p>
      <w:pPr>
        <w:spacing w:before="0" w:after="80"/>
      </w:pPr>
    </w:p>
    <w:p>
      <w:pPr>
        <w:keepNext/>
        <w:spacing w:before="280" w:after="80"/>
      </w:pPr>
      <w:r>
        <w:rPr>
          <w:rFonts w:ascii="Calibri" w:hAnsi="Calibri"/>
          <w:b/>
          <w:color w:val="2B547E"/>
          <w:sz w:val="25"/>
        </w:rPr>
        <w:t>1.1 Core Design Objectives</w:t>
      </w:r>
    </w:p>
    <w:p>
      <w:pPr>
        <w:pStyle w:val="ListBullet"/>
        <w:spacing w:before="0" w:after="50" w:line="276" w:lineRule="auto"/>
      </w:pPr>
      <w:r>
        <w:rPr>
          <w:rFonts w:ascii="Calibri" w:hAnsi="Calibri"/>
          <w:b/>
          <w:color w:val="1B365D"/>
          <w:sz w:val="20"/>
        </w:rPr>
        <w:t xml:space="preserve">Hierarchical Navigation: </w:t>
      </w:r>
      <w:r>
        <w:rPr>
          <w:rFonts w:ascii="Calibri" w:hAnsi="Calibri"/>
          <w:color w:val="2C3E50"/>
          <w:sz w:val="20"/>
        </w:rPr>
        <w:t>Streamlined, intuitive top-level navigation grouping 11 functional domains into an ergonomic workspace.</w:t>
      </w:r>
    </w:p>
    <w:p>
      <w:pPr>
        <w:pStyle w:val="ListBullet"/>
        <w:spacing w:before="0" w:after="50" w:line="276" w:lineRule="auto"/>
      </w:pPr>
      <w:r>
        <w:rPr>
          <w:rFonts w:ascii="Calibri" w:hAnsi="Calibri"/>
          <w:b/>
          <w:color w:val="1B365D"/>
          <w:sz w:val="20"/>
        </w:rPr>
        <w:t xml:space="preserve">End-to-End Transaction Integrity: </w:t>
      </w:r>
      <w:r>
        <w:rPr>
          <w:rFonts w:ascii="Calibri" w:hAnsi="Calibri"/>
          <w:color w:val="2C3E50"/>
          <w:sz w:val="20"/>
        </w:rPr>
        <w:t>Eliminates disconnected CRUD forms in favor of end-to-end linked workflows where transactions inherit upstream context.</w:t>
      </w:r>
    </w:p>
    <w:p>
      <w:pPr>
        <w:pStyle w:val="ListBullet"/>
        <w:spacing w:before="0" w:after="50" w:line="276" w:lineRule="auto"/>
      </w:pPr>
      <w:r>
        <w:rPr>
          <w:rFonts w:ascii="Calibri" w:hAnsi="Calibri"/>
          <w:b/>
          <w:color w:val="1B365D"/>
          <w:sz w:val="20"/>
        </w:rPr>
        <w:t xml:space="preserve">Project-Centric Operating Paradigm: </w:t>
      </w:r>
      <w:r>
        <w:rPr>
          <w:rFonts w:ascii="Calibri" w:hAnsi="Calibri"/>
          <w:color w:val="2C3E50"/>
          <w:sz w:val="20"/>
        </w:rPr>
        <w:t>Every commercial event (sales order, procurement PO, expense, delivery, milestone) is anchored to a specific project for real-time cost and margin tracking.</w:t>
      </w:r>
    </w:p>
    <w:p>
      <w:pPr>
        <w:pStyle w:val="ListBullet"/>
        <w:spacing w:before="0" w:after="50" w:line="276" w:lineRule="auto"/>
      </w:pPr>
      <w:r>
        <w:rPr>
          <w:rFonts w:ascii="Calibri" w:hAnsi="Calibri"/>
          <w:b/>
          <w:color w:val="1B365D"/>
          <w:sz w:val="20"/>
        </w:rPr>
        <w:t xml:space="preserve">Centralized Master Data: </w:t>
      </w:r>
      <w:r>
        <w:rPr>
          <w:rFonts w:ascii="Calibri" w:hAnsi="Calibri"/>
          <w:color w:val="2C3E50"/>
          <w:sz w:val="20"/>
        </w:rPr>
        <w:t>Unified Master Data Architecture ensuring zero duplication across Clients, Vendors, Employees, Items, and Chart of Accounts.</w:t>
      </w:r>
    </w:p>
    <w:p>
      <w:pPr>
        <w:pStyle w:val="ListBullet"/>
        <w:spacing w:before="0" w:after="50" w:line="276" w:lineRule="auto"/>
      </w:pPr>
      <w:r>
        <w:rPr>
          <w:rFonts w:ascii="Calibri" w:hAnsi="Calibri"/>
          <w:b/>
          <w:color w:val="1B365D"/>
          <w:sz w:val="20"/>
        </w:rPr>
        <w:t xml:space="preserve">Double-Entry Financial Controls: </w:t>
      </w:r>
      <w:r>
        <w:rPr>
          <w:rFonts w:ascii="Calibri" w:hAnsi="Calibri"/>
          <w:color w:val="2C3E50"/>
          <w:sz w:val="20"/>
        </w:rPr>
        <w:t>Automated double-entry journal creation from source transactions (invoices, bills, receipts, disbursements) with strict audit immutability (reversals/credit notes instead of silent deletion).</w:t>
      </w:r>
    </w:p>
    <w:p>
      <w:pPr>
        <w:pStyle w:val="ListBullet"/>
        <w:spacing w:before="0" w:after="50" w:line="276" w:lineRule="auto"/>
      </w:pPr>
      <w:r>
        <w:rPr>
          <w:rFonts w:ascii="Calibri" w:hAnsi="Calibri"/>
          <w:b/>
          <w:color w:val="1B365D"/>
          <w:sz w:val="20"/>
        </w:rPr>
        <w:t xml:space="preserve">Comprehensive GST &amp; Tax Compliance: </w:t>
      </w:r>
      <w:r>
        <w:rPr>
          <w:rFonts w:ascii="Calibri" w:hAnsi="Calibri"/>
          <w:color w:val="2C3E50"/>
          <w:sz w:val="20"/>
        </w:rPr>
        <w:t>End-to-end statutory alignment with Indian GST regulations, including CGST, SGST, IGST, RCM, HSN/SAC validation, GSTR-1, GSTR-3B, and GSTR-2B ITC reconciliation.</w:t>
      </w:r>
    </w:p>
    <w:p>
      <w:pPr>
        <w:pStyle w:val="ListBullet"/>
        <w:spacing w:before="0" w:after="50" w:line="276" w:lineRule="auto"/>
      </w:pPr>
      <w:r>
        <w:rPr>
          <w:rFonts w:ascii="Calibri" w:hAnsi="Calibri"/>
          <w:b/>
          <w:color w:val="1B365D"/>
          <w:sz w:val="20"/>
        </w:rPr>
        <w:t xml:space="preserve">Distinct Inventory &amp; Asset Boundaries: </w:t>
      </w:r>
      <w:r>
        <w:rPr>
          <w:rFonts w:ascii="Calibri" w:hAnsi="Calibri"/>
          <w:color w:val="2C3E50"/>
          <w:sz w:val="20"/>
        </w:rPr>
        <w:t>Clear boundary between internal office consumable inventory (stationery, supplies) and capitalized durable fixed assets (laptops, servers, furniture).</w:t>
      </w:r>
    </w:p>
    <w:p>
      <w:pPr>
        <w:pStyle w:val="ListBullet"/>
        <w:spacing w:before="0" w:after="50" w:line="276" w:lineRule="auto"/>
      </w:pPr>
      <w:r>
        <w:rPr>
          <w:rFonts w:ascii="Calibri" w:hAnsi="Calibri"/>
          <w:b/>
          <w:color w:val="1B365D"/>
          <w:sz w:val="20"/>
        </w:rPr>
        <w:t xml:space="preserve">Unified Multi-Level Approval Engine: </w:t>
      </w:r>
      <w:r>
        <w:rPr>
          <w:rFonts w:ascii="Calibri" w:hAnsi="Calibri"/>
          <w:color w:val="2C3E50"/>
          <w:sz w:val="20"/>
        </w:rPr>
        <w:t>A configurable, rules-based approval workflow engine applicable across procurement, payments, discounts, expenses, and project sign-offs.</w:t>
      </w:r>
    </w:p>
    <w:p>
      <w:pPr>
        <w:keepNext/>
        <w:spacing w:before="360" w:after="120"/>
      </w:pPr>
      <w:r>
        <w:rPr>
          <w:rFonts w:ascii="Calibri" w:hAnsi="Calibri"/>
          <w:b/>
          <w:color w:val="1B365D"/>
          <w:sz w:val="30"/>
        </w:rPr>
        <w:t>2. System Scope &amp; High-Level Technical Architecture</w:t>
      </w:r>
    </w:p>
    <w:p>
      <w:pPr>
        <w:spacing w:before="0" w:after="80" w:line="276" w:lineRule="auto"/>
      </w:pPr>
      <w:r>
        <w:rPr>
          <w:rFonts w:ascii="Calibri" w:hAnsi="Calibri"/>
          <w:color w:val="2C3E50"/>
          <w:sz w:val="20"/>
        </w:rPr>
        <w:t>The SDK Solutions ERP covers 11 core functional domains designed in a modular, loosely-coupled, high-performance architecture. The application adheres to modern cloud-native standards, providing high concurrency, sub-second response times, transactional atomicity, and multi-tenant scalability.</w:t>
      </w:r>
    </w:p>
    <w:p>
      <w:pPr>
        <w:spacing w:before="160" w:after="40"/>
        <w:jc w:val="center"/>
      </w:pPr>
      <w:r>
        <w:drawing>
          <wp:inline xmlns:a="http://schemas.openxmlformats.org/drawingml/2006/main" xmlns:pic="http://schemas.openxmlformats.org/drawingml/2006/picture">
            <wp:extent cx="6035040" cy="3752882"/>
            <wp:docPr id="1" name="Picture 1"/>
            <wp:cNvGraphicFramePr>
              <a:graphicFrameLocks noChangeAspect="1"/>
            </wp:cNvGraphicFramePr>
            <a:graphic>
              <a:graphicData uri="http://schemas.openxmlformats.org/drawingml/2006/picture">
                <pic:pic>
                  <pic:nvPicPr>
                    <pic:cNvPr id="0" name="diagram_1_architecture.png"/>
                    <pic:cNvPicPr/>
                  </pic:nvPicPr>
                  <pic:blipFill>
                    <a:blip r:embed="rId11"/>
                    <a:stretch>
                      <a:fillRect/>
                    </a:stretch>
                  </pic:blipFill>
                  <pic:spPr>
                    <a:xfrm>
                      <a:off x="0" y="0"/>
                      <a:ext cx="6035040" cy="3752882"/>
                    </a:xfrm>
                    <a:prstGeom prst="rect"/>
                  </pic:spPr>
                </pic:pic>
              </a:graphicData>
            </a:graphic>
          </wp:inline>
        </w:drawing>
      </w:r>
    </w:p>
    <w:p>
      <w:pPr>
        <w:spacing w:before="40" w:after="160"/>
        <w:jc w:val="center"/>
      </w:pPr>
      <w:r>
        <w:rPr>
          <w:rFonts w:ascii="Calibri" w:hAnsi="Calibri"/>
          <w:i/>
          <w:color w:val="64748B"/>
          <w:sz w:val="17"/>
        </w:rPr>
        <w:t>Figure 1: Multi-Tier Technical Architecture of SDK Solutions ERP</w:t>
      </w:r>
    </w:p>
    <w:p>
      <w:pPr>
        <w:keepNext/>
        <w:spacing w:before="280" w:after="80"/>
      </w:pPr>
      <w:r>
        <w:rPr>
          <w:rFonts w:ascii="Calibri" w:hAnsi="Calibri"/>
          <w:b/>
          <w:color w:val="2B547E"/>
          <w:sz w:val="25"/>
        </w:rPr>
        <w:t>2.1 Architectural Tier Breakdown</w:t>
      </w:r>
    </w:p>
    <w:p>
      <w:pPr>
        <w:pStyle w:val="ListBullet"/>
        <w:spacing w:before="0" w:after="50" w:line="276" w:lineRule="auto"/>
      </w:pPr>
      <w:r>
        <w:rPr>
          <w:rFonts w:ascii="Calibri" w:hAnsi="Calibri"/>
          <w:b/>
          <w:color w:val="1B365D"/>
          <w:sz w:val="20"/>
        </w:rPr>
        <w:t xml:space="preserve">1. Presentation Layer: </w:t>
      </w:r>
      <w:r>
        <w:rPr>
          <w:rFonts w:ascii="Calibri" w:hAnsi="Calibri"/>
          <w:color w:val="2C3E50"/>
          <w:sz w:val="20"/>
        </w:rPr>
        <w:t>Single Page Application (SPA) built with modern reactive web frameworks. Provides role-tailored dashboards, dynamic data tables with pagination/filtering, keyboard-accelerated data entry, and PDF/Excel export capabilities.</w:t>
      </w:r>
    </w:p>
    <w:p>
      <w:pPr>
        <w:pStyle w:val="ListBullet"/>
        <w:spacing w:before="0" w:after="50" w:line="276" w:lineRule="auto"/>
      </w:pPr>
      <w:r>
        <w:rPr>
          <w:rFonts w:ascii="Calibri" w:hAnsi="Calibri"/>
          <w:b/>
          <w:color w:val="1B365D"/>
          <w:sz w:val="20"/>
        </w:rPr>
        <w:t xml:space="preserve">2. API Gateway &amp; Security: </w:t>
      </w:r>
      <w:r>
        <w:rPr>
          <w:rFonts w:ascii="Calibri" w:hAnsi="Calibri"/>
          <w:color w:val="2C3E50"/>
          <w:sz w:val="20"/>
        </w:rPr>
        <w:t>Serves as the single secure entry point. Manages JWT authentication, session state, CORS headers, rate-limiting, SSL termination, and routes requests to domain services.</w:t>
      </w:r>
    </w:p>
    <w:p>
      <w:pPr>
        <w:pStyle w:val="ListBullet"/>
        <w:spacing w:before="0" w:after="50" w:line="276" w:lineRule="auto"/>
      </w:pPr>
      <w:r>
        <w:rPr>
          <w:rFonts w:ascii="Calibri" w:hAnsi="Calibri"/>
          <w:b/>
          <w:color w:val="1B365D"/>
          <w:sz w:val="20"/>
        </w:rPr>
        <w:t xml:space="preserve">3. Application Business Services: </w:t>
      </w:r>
      <w:r>
        <w:rPr>
          <w:rFonts w:ascii="Calibri" w:hAnsi="Calibri"/>
          <w:color w:val="2C3E50"/>
          <w:sz w:val="20"/>
        </w:rPr>
        <w:t>Encapsulates all business rules, approval state machines, financial posting logic, GST tax calculations, and validation rules. Prevents any UI-level bypass of business rules.</w:t>
      </w:r>
    </w:p>
    <w:p>
      <w:pPr>
        <w:pStyle w:val="ListBullet"/>
        <w:spacing w:before="0" w:after="50" w:line="276" w:lineRule="auto"/>
      </w:pPr>
      <w:r>
        <w:rPr>
          <w:rFonts w:ascii="Calibri" w:hAnsi="Calibri"/>
          <w:b/>
          <w:color w:val="1B365D"/>
          <w:sz w:val="20"/>
        </w:rPr>
        <w:t xml:space="preserve">4. Persistence &amp; Storage Layer: </w:t>
      </w:r>
      <w:r>
        <w:rPr>
          <w:rFonts w:ascii="Calibri" w:hAnsi="Calibri"/>
          <w:color w:val="2C3E50"/>
          <w:sz w:val="20"/>
        </w:rPr>
        <w:t>Relational Database Management System (PostgreSQL / MySQL) structured in Third Normal Form (3NF) with foreign key constraints, composite B-Tree indexes, and JSONB document storage. Accompanied by Redis for caching and S3-compatible Object Storage for document attachments.</w:t>
      </w:r>
    </w:p>
    <w:p>
      <w:pPr>
        <w:keepNext/>
        <w:spacing w:before="360" w:after="120"/>
      </w:pPr>
      <w:r>
        <w:rPr>
          <w:rFonts w:ascii="Calibri" w:hAnsi="Calibri"/>
          <w:b/>
          <w:color w:val="1B365D"/>
          <w:sz w:val="30"/>
        </w:rPr>
        <w:t>3. End-to-End ERP Business Workflows</w:t>
      </w:r>
    </w:p>
    <w:p>
      <w:pPr>
        <w:spacing w:before="0" w:after="80" w:line="276" w:lineRule="auto"/>
      </w:pPr>
      <w:r>
        <w:rPr>
          <w:rFonts w:ascii="Calibri" w:hAnsi="Calibri"/>
          <w:color w:val="2C3E50"/>
          <w:sz w:val="20"/>
        </w:rPr>
        <w:t>Transactions in the SDK Solutions ERP follow an interconnected operational pipeline. Data captured at project initiation automatically flows downstream to procurement, billing, taxation, ledger posting, and cash settlement.</w:t>
      </w:r>
    </w:p>
    <w:p>
      <w:pPr>
        <w:spacing w:before="160" w:after="40"/>
        <w:jc w:val="center"/>
      </w:pPr>
      <w:r>
        <w:drawing>
          <wp:inline xmlns:a="http://schemas.openxmlformats.org/drawingml/2006/main" xmlns:pic="http://schemas.openxmlformats.org/drawingml/2006/picture">
            <wp:extent cx="6035040" cy="4260028"/>
            <wp:docPr id="2" name="Picture 2"/>
            <wp:cNvGraphicFramePr>
              <a:graphicFrameLocks noChangeAspect="1"/>
            </wp:cNvGraphicFramePr>
            <a:graphic>
              <a:graphicData uri="http://schemas.openxmlformats.org/drawingml/2006/picture">
                <pic:pic>
                  <pic:nvPicPr>
                    <pic:cNvPr id="0" name="diagram_2_business_workflow.png"/>
                    <pic:cNvPicPr/>
                  </pic:nvPicPr>
                  <pic:blipFill>
                    <a:blip r:embed="rId12"/>
                    <a:stretch>
                      <a:fillRect/>
                    </a:stretch>
                  </pic:blipFill>
                  <pic:spPr>
                    <a:xfrm>
                      <a:off x="0" y="0"/>
                      <a:ext cx="6035040" cy="4260028"/>
                    </a:xfrm>
                    <a:prstGeom prst="rect"/>
                  </pic:spPr>
                </pic:pic>
              </a:graphicData>
            </a:graphic>
          </wp:inline>
        </w:drawing>
      </w:r>
    </w:p>
    <w:p>
      <w:pPr>
        <w:spacing w:before="40" w:after="160"/>
        <w:jc w:val="center"/>
      </w:pPr>
      <w:r>
        <w:rPr>
          <w:rFonts w:ascii="Calibri" w:hAnsi="Calibri"/>
          <w:i/>
          <w:color w:val="64748B"/>
          <w:sz w:val="17"/>
        </w:rPr>
        <w:t>Figure 2: End-to-End Project-Centric Operational and Financial Lifecycle</w:t>
      </w:r>
    </w:p>
    <w:p>
      <w:pPr>
        <w:keepNext/>
        <w:spacing w:before="280" w:after="80"/>
      </w:pPr>
      <w:r>
        <w:rPr>
          <w:rFonts w:ascii="Calibri" w:hAnsi="Calibri"/>
          <w:b/>
          <w:color w:val="2B547E"/>
          <w:sz w:val="25"/>
        </w:rPr>
        <w:t>3.1 Primary Project-to-Accounting Flow (16-Stage Cycle)</w:t>
      </w:r>
    </w:p>
    <w:p>
      <w:pPr>
        <w:pStyle w:val="ListBullet"/>
        <w:spacing w:before="0" w:after="50" w:line="276" w:lineRule="auto"/>
      </w:pPr>
      <w:r>
        <w:rPr>
          <w:rFonts w:ascii="Calibri" w:hAnsi="Calibri"/>
          <w:b/>
          <w:color w:val="1B365D"/>
          <w:sz w:val="20"/>
        </w:rPr>
        <w:t xml:space="preserve">Step 1: Client Onboarding — </w:t>
      </w:r>
      <w:r>
        <w:rPr>
          <w:rFonts w:ascii="Calibri" w:hAnsi="Calibri"/>
          <w:color w:val="2C3E50"/>
          <w:sz w:val="20"/>
        </w:rPr>
        <w:t>Register Client with legal entity details, billing/shipping addresses, GSTIN, PAN, and credit terms.</w:t>
      </w:r>
    </w:p>
    <w:p>
      <w:pPr>
        <w:pStyle w:val="ListBullet"/>
        <w:spacing w:before="0" w:after="50" w:line="276" w:lineRule="auto"/>
      </w:pPr>
      <w:r>
        <w:rPr>
          <w:rFonts w:ascii="Calibri" w:hAnsi="Calibri"/>
          <w:b/>
          <w:color w:val="1B365D"/>
          <w:sz w:val="20"/>
        </w:rPr>
        <w:t xml:space="preserve">Step 2: Project Creation — </w:t>
      </w:r>
      <w:r>
        <w:rPr>
          <w:rFonts w:ascii="Calibri" w:hAnsi="Calibri"/>
          <w:color w:val="2C3E50"/>
          <w:sz w:val="20"/>
        </w:rPr>
        <w:t>Initiate Project record, link to Client, designate Project Manager, set project timeline and contract value.</w:t>
      </w:r>
    </w:p>
    <w:p>
      <w:pPr>
        <w:pStyle w:val="ListBullet"/>
        <w:spacing w:before="0" w:after="50" w:line="276" w:lineRule="auto"/>
      </w:pPr>
      <w:r>
        <w:rPr>
          <w:rFonts w:ascii="Calibri" w:hAnsi="Calibri"/>
          <w:b/>
          <w:color w:val="1B365D"/>
          <w:sz w:val="20"/>
        </w:rPr>
        <w:t xml:space="preserve">Step 3: Contract / PO Capture — </w:t>
      </w:r>
      <w:r>
        <w:rPr>
          <w:rFonts w:ascii="Calibri" w:hAnsi="Calibri"/>
          <w:color w:val="2C3E50"/>
          <w:sz w:val="20"/>
        </w:rPr>
        <w:t>Upload Client Work Order / Purchase Order, record commercial milestones, and attach scope document.</w:t>
      </w:r>
    </w:p>
    <w:p>
      <w:pPr>
        <w:pStyle w:val="ListBullet"/>
        <w:spacing w:before="0" w:after="50" w:line="276" w:lineRule="auto"/>
      </w:pPr>
      <w:r>
        <w:rPr>
          <w:rFonts w:ascii="Calibri" w:hAnsi="Calibri"/>
          <w:b/>
          <w:color w:val="1B365D"/>
          <w:sz w:val="20"/>
        </w:rPr>
        <w:t xml:space="preserve">Step 4: Sales Order &amp; Proforma — </w:t>
      </w:r>
      <w:r>
        <w:rPr>
          <w:rFonts w:ascii="Calibri" w:hAnsi="Calibri"/>
          <w:color w:val="2C3E50"/>
          <w:sz w:val="20"/>
        </w:rPr>
        <w:t>Generate Sales Order against contract milestones; produce Proforma Invoice where advance billing is required.</w:t>
      </w:r>
    </w:p>
    <w:p>
      <w:pPr>
        <w:pStyle w:val="ListBullet"/>
        <w:spacing w:before="0" w:after="50" w:line="276" w:lineRule="auto"/>
      </w:pPr>
      <w:r>
        <w:rPr>
          <w:rFonts w:ascii="Calibri" w:hAnsi="Calibri"/>
          <w:b/>
          <w:color w:val="1B365D"/>
          <w:sz w:val="20"/>
        </w:rPr>
        <w:t xml:space="preserve">Step 5: Purchase Requisition — </w:t>
      </w:r>
      <w:r>
        <w:rPr>
          <w:rFonts w:ascii="Calibri" w:hAnsi="Calibri"/>
          <w:color w:val="2C3E50"/>
          <w:sz w:val="20"/>
        </w:rPr>
        <w:t>Raise Purchase Requisition for project-specific materials or services; route through approval workflow.</w:t>
      </w:r>
    </w:p>
    <w:p>
      <w:pPr>
        <w:pStyle w:val="ListBullet"/>
        <w:spacing w:before="0" w:after="50" w:line="276" w:lineRule="auto"/>
      </w:pPr>
      <w:r>
        <w:rPr>
          <w:rFonts w:ascii="Calibri" w:hAnsi="Calibri"/>
          <w:b/>
          <w:color w:val="1B365D"/>
          <w:sz w:val="20"/>
        </w:rPr>
        <w:t xml:space="preserve">Step 6: Purchase Order Issuance — </w:t>
      </w:r>
      <w:r>
        <w:rPr>
          <w:rFonts w:ascii="Calibri" w:hAnsi="Calibri"/>
          <w:color w:val="2C3E50"/>
          <w:sz w:val="20"/>
        </w:rPr>
        <w:t>Issue Purchase Order to selected approved Vendor; transmit digital PO.</w:t>
      </w:r>
    </w:p>
    <w:p>
      <w:pPr>
        <w:pStyle w:val="ListBullet"/>
        <w:spacing w:before="0" w:after="50" w:line="276" w:lineRule="auto"/>
      </w:pPr>
      <w:r>
        <w:rPr>
          <w:rFonts w:ascii="Calibri" w:hAnsi="Calibri"/>
          <w:b/>
          <w:color w:val="1B365D"/>
          <w:sz w:val="20"/>
        </w:rPr>
        <w:t xml:space="preserve">Step 7: Goods Receipt (GRN) — </w:t>
      </w:r>
      <w:r>
        <w:rPr>
          <w:rFonts w:ascii="Calibri" w:hAnsi="Calibri"/>
          <w:color w:val="2C3E50"/>
          <w:sz w:val="20"/>
        </w:rPr>
        <w:t>Record physical receipt of goods via Goods Receipt Note (GRN); inspect quantity and quality.</w:t>
      </w:r>
    </w:p>
    <w:p>
      <w:pPr>
        <w:pStyle w:val="ListBullet"/>
        <w:spacing w:before="0" w:after="50" w:line="276" w:lineRule="auto"/>
      </w:pPr>
      <w:r>
        <w:rPr>
          <w:rFonts w:ascii="Calibri" w:hAnsi="Calibri"/>
          <w:b/>
          <w:color w:val="1B365D"/>
          <w:sz w:val="20"/>
        </w:rPr>
        <w:t xml:space="preserve">Step 8: Project Delivery — </w:t>
      </w:r>
      <w:r>
        <w:rPr>
          <w:rFonts w:ascii="Calibri" w:hAnsi="Calibri"/>
          <w:color w:val="2C3E50"/>
          <w:sz w:val="20"/>
        </w:rPr>
        <w:t>Issue Delivery Challan (DC) to Client for delivered deliverables or physical milestone items.</w:t>
      </w:r>
    </w:p>
    <w:p>
      <w:pPr>
        <w:pStyle w:val="ListBullet"/>
        <w:spacing w:before="0" w:after="50" w:line="276" w:lineRule="auto"/>
      </w:pPr>
      <w:r>
        <w:rPr>
          <w:rFonts w:ascii="Calibri" w:hAnsi="Calibri"/>
          <w:b/>
          <w:color w:val="1B365D"/>
          <w:sz w:val="20"/>
        </w:rPr>
        <w:t xml:space="preserve">Step 9: Purchase Bill Recording — </w:t>
      </w:r>
      <w:r>
        <w:rPr>
          <w:rFonts w:ascii="Calibri" w:hAnsi="Calibri"/>
          <w:color w:val="2C3E50"/>
          <w:sz w:val="20"/>
        </w:rPr>
        <w:t>Record Vendor Purchase Bill, match against PO &amp; GRN (3-Way Match), and trigger payable liability posting.</w:t>
      </w:r>
    </w:p>
    <w:p>
      <w:pPr>
        <w:pStyle w:val="ListBullet"/>
        <w:spacing w:before="0" w:after="50" w:line="276" w:lineRule="auto"/>
      </w:pPr>
      <w:r>
        <w:rPr>
          <w:rFonts w:ascii="Calibri" w:hAnsi="Calibri"/>
          <w:b/>
          <w:color w:val="1B365D"/>
          <w:sz w:val="20"/>
        </w:rPr>
        <w:t xml:space="preserve">Step 10: Project Direct Expenses — </w:t>
      </w:r>
      <w:r>
        <w:rPr>
          <w:rFonts w:ascii="Calibri" w:hAnsi="Calibri"/>
          <w:color w:val="2C3E50"/>
          <w:sz w:val="20"/>
        </w:rPr>
        <w:t>Capture direct project expenses (travel, site logistics, contractor charges) with receipt attachments.</w:t>
      </w:r>
    </w:p>
    <w:p>
      <w:pPr>
        <w:pStyle w:val="ListBullet"/>
        <w:spacing w:before="0" w:after="50" w:line="276" w:lineRule="auto"/>
      </w:pPr>
      <w:r>
        <w:rPr>
          <w:rFonts w:ascii="Calibri" w:hAnsi="Calibri"/>
          <w:b/>
          <w:color w:val="1B365D"/>
          <w:sz w:val="20"/>
        </w:rPr>
        <w:t xml:space="preserve">Step 11: Sales Tax Invoice — </w:t>
      </w:r>
      <w:r>
        <w:rPr>
          <w:rFonts w:ascii="Calibri" w:hAnsi="Calibri"/>
          <w:color w:val="2C3E50"/>
          <w:sz w:val="20"/>
        </w:rPr>
        <w:t>Issue Tax Invoice to Client; automatically generate GST Outward transaction and Debit Accounts Receivable.</w:t>
      </w:r>
    </w:p>
    <w:p>
      <w:pPr>
        <w:pStyle w:val="ListBullet"/>
        <w:spacing w:before="0" w:after="50" w:line="276" w:lineRule="auto"/>
      </w:pPr>
      <w:r>
        <w:rPr>
          <w:rFonts w:ascii="Calibri" w:hAnsi="Calibri"/>
          <w:b/>
          <w:color w:val="1B365D"/>
          <w:sz w:val="20"/>
        </w:rPr>
        <w:t xml:space="preserve">Step 12: Customer Receipt &amp; Allocation — </w:t>
      </w:r>
      <w:r>
        <w:rPr>
          <w:rFonts w:ascii="Calibri" w:hAnsi="Calibri"/>
          <w:color w:val="2C3E50"/>
          <w:sz w:val="20"/>
        </w:rPr>
        <w:t>Record Client payment in Bank/Cash; allocate single payment across multiple outstanding invoices.</w:t>
      </w:r>
    </w:p>
    <w:p>
      <w:pPr>
        <w:pStyle w:val="ListBullet"/>
        <w:spacing w:before="0" w:after="50" w:line="276" w:lineRule="auto"/>
      </w:pPr>
      <w:r>
        <w:rPr>
          <w:rFonts w:ascii="Calibri" w:hAnsi="Calibri"/>
          <w:b/>
          <w:color w:val="1B365D"/>
          <w:sz w:val="20"/>
        </w:rPr>
        <w:t xml:space="preserve">Step 13: Vendor Disbursement — </w:t>
      </w:r>
      <w:r>
        <w:rPr>
          <w:rFonts w:ascii="Calibri" w:hAnsi="Calibri"/>
          <w:color w:val="2C3E50"/>
          <w:sz w:val="20"/>
        </w:rPr>
        <w:t>Authorize and execute Vendor disbursement; allocate against open Purchase Bills in Vendor sub-ledger.</w:t>
      </w:r>
    </w:p>
    <w:p>
      <w:pPr>
        <w:pStyle w:val="ListBullet"/>
        <w:spacing w:before="0" w:after="50" w:line="276" w:lineRule="auto"/>
      </w:pPr>
      <w:r>
        <w:rPr>
          <w:rFonts w:ascii="Calibri" w:hAnsi="Calibri"/>
          <w:b/>
          <w:color w:val="1B365D"/>
          <w:sz w:val="20"/>
        </w:rPr>
        <w:t xml:space="preserve">Step 14: GST Tax Reconciliation — </w:t>
      </w:r>
      <w:r>
        <w:rPr>
          <w:rFonts w:ascii="Calibri" w:hAnsi="Calibri"/>
          <w:color w:val="2C3E50"/>
          <w:sz w:val="20"/>
        </w:rPr>
        <w:t>Compute Outward vs Inward GST liabilities; reconcile Inward ITC with GSTR-2B auto-drafted statement.</w:t>
      </w:r>
    </w:p>
    <w:p>
      <w:pPr>
        <w:pStyle w:val="ListBullet"/>
        <w:spacing w:before="0" w:after="50" w:line="276" w:lineRule="auto"/>
      </w:pPr>
      <w:r>
        <w:rPr>
          <w:rFonts w:ascii="Calibri" w:hAnsi="Calibri"/>
          <w:b/>
          <w:color w:val="1B365D"/>
          <w:sz w:val="20"/>
        </w:rPr>
        <w:t xml:space="preserve">Step 15: Project P&amp;L Generation — </w:t>
      </w:r>
      <w:r>
        <w:rPr>
          <w:rFonts w:ascii="Calibri" w:hAnsi="Calibri"/>
          <w:color w:val="2C3E50"/>
          <w:sz w:val="20"/>
        </w:rPr>
        <w:t>Compute real-time Project Profit &amp; Loss (Contract Revenue minus Procurement, Direct Expenses &amp; Allocated Costs).</w:t>
      </w:r>
    </w:p>
    <w:p>
      <w:pPr>
        <w:pStyle w:val="ListBullet"/>
        <w:spacing w:before="0" w:after="50" w:line="276" w:lineRule="auto"/>
      </w:pPr>
      <w:r>
        <w:rPr>
          <w:rFonts w:ascii="Calibri" w:hAnsi="Calibri"/>
          <w:b/>
          <w:color w:val="1B365D"/>
          <w:sz w:val="20"/>
        </w:rPr>
        <w:t xml:space="preserve">Step 16: Project Closure &amp; Audit Lock — </w:t>
      </w:r>
      <w:r>
        <w:rPr>
          <w:rFonts w:ascii="Calibri" w:hAnsi="Calibri"/>
          <w:color w:val="2C3E50"/>
          <w:sz w:val="20"/>
        </w:rPr>
        <w:t>Execute formal Project Closure checklist; lock financial transactions to prevent unauthorized modifications.</w:t>
      </w:r>
    </w:p>
    <w:p>
      <w:pPr>
        <w:keepNext/>
        <w:spacing w:before="360" w:after="120"/>
      </w:pPr>
      <w:r>
        <w:rPr>
          <w:rFonts w:ascii="Calibri" w:hAnsi="Calibri"/>
          <w:b/>
          <w:color w:val="1B365D"/>
          <w:sz w:val="30"/>
        </w:rPr>
        <w:t>4. Granular Functional Requirements by Module</w:t>
      </w:r>
    </w:p>
    <w:p>
      <w:pPr>
        <w:keepNext/>
        <w:spacing w:before="280" w:after="80"/>
      </w:pPr>
      <w:r>
        <w:rPr>
          <w:rFonts w:ascii="Calibri" w:hAnsi="Calibri"/>
          <w:b/>
          <w:color w:val="2B547E"/>
          <w:sz w:val="25"/>
        </w:rPr>
        <w:t>4.1 Module 1: Management Dashboard &amp; Executive KPIs</w:t>
      </w:r>
    </w:p>
    <w:p>
      <w:pPr>
        <w:spacing w:before="0" w:after="80" w:line="276" w:lineRule="auto"/>
      </w:pPr>
      <w:r>
        <w:rPr>
          <w:rFonts w:ascii="Calibri" w:hAnsi="Calibri"/>
          <w:color w:val="2C3E50"/>
          <w:sz w:val="20"/>
        </w:rPr>
        <w:t>Provides real-time visibility into organizational health, cash position, project margins, and compliance status.</w:t>
      </w:r>
    </w:p>
    <w:p>
      <w:pPr>
        <w:pStyle w:val="ListBullet"/>
        <w:spacing w:before="0" w:after="50" w:line="276" w:lineRule="auto"/>
      </w:pPr>
      <w:r>
        <w:rPr>
          <w:rFonts w:ascii="Calibri" w:hAnsi="Calibri"/>
          <w:b/>
          <w:color w:val="1B365D"/>
          <w:sz w:val="20"/>
        </w:rPr>
        <w:t xml:space="preserve">Executive KPI Cards: </w:t>
      </w:r>
      <w:r>
        <w:rPr>
          <w:rFonts w:ascii="Calibri" w:hAnsi="Calibri"/>
          <w:color w:val="2C3E50"/>
          <w:sz w:val="20"/>
        </w:rPr>
        <w:t>Revenue MTD/YTD, Gross &amp; Net Margins, Cash &amp; Bank Book Balances, Total Overdue Receivables, Total Payables.</w:t>
      </w:r>
    </w:p>
    <w:p>
      <w:pPr>
        <w:pStyle w:val="ListBullet"/>
        <w:spacing w:before="0" w:after="50" w:line="276" w:lineRule="auto"/>
      </w:pPr>
      <w:r>
        <w:rPr>
          <w:rFonts w:ascii="Calibri" w:hAnsi="Calibri"/>
          <w:b/>
          <w:color w:val="1B365D"/>
          <w:sz w:val="20"/>
        </w:rPr>
        <w:t xml:space="preserve">Project Operations Tracker: </w:t>
      </w:r>
      <w:r>
        <w:rPr>
          <w:rFonts w:ascii="Calibri" w:hAnsi="Calibri"/>
          <w:color w:val="2C3E50"/>
          <w:sz w:val="20"/>
        </w:rPr>
        <w:t>Active Projects count, Milestones Due this Week, Overdue Deliverables, High-Margin vs Low-Margin Projects.</w:t>
      </w:r>
    </w:p>
    <w:p>
      <w:pPr>
        <w:pStyle w:val="ListBullet"/>
        <w:spacing w:before="0" w:after="50" w:line="276" w:lineRule="auto"/>
      </w:pPr>
      <w:r>
        <w:rPr>
          <w:rFonts w:ascii="Calibri" w:hAnsi="Calibri"/>
          <w:b/>
          <w:color w:val="1B365D"/>
          <w:sz w:val="20"/>
        </w:rPr>
        <w:t xml:space="preserve">Receivable &amp; Payable Aging Charts: </w:t>
      </w:r>
      <w:r>
        <w:rPr>
          <w:rFonts w:ascii="Calibri" w:hAnsi="Calibri"/>
          <w:color w:val="2C3E50"/>
          <w:sz w:val="20"/>
        </w:rPr>
        <w:t>30/60/90/120+ days aging buckets with drill-down to individual client invoices.</w:t>
      </w:r>
    </w:p>
    <w:p>
      <w:pPr>
        <w:pStyle w:val="ListBullet"/>
        <w:spacing w:before="0" w:after="50" w:line="276" w:lineRule="auto"/>
      </w:pPr>
      <w:r>
        <w:rPr>
          <w:rFonts w:ascii="Calibri" w:hAnsi="Calibri"/>
          <w:b/>
          <w:color w:val="1B365D"/>
          <w:sz w:val="20"/>
        </w:rPr>
        <w:t xml:space="preserve">GST Tax Summary Widget: </w:t>
      </w:r>
      <w:r>
        <w:rPr>
          <w:rFonts w:ascii="Calibri" w:hAnsi="Calibri"/>
          <w:color w:val="2C3E50"/>
          <w:sz w:val="20"/>
        </w:rPr>
        <w:t>Outward liability, available ITC, net tax payable, and filing deadline countdowns.</w:t>
      </w:r>
    </w:p>
    <w:p>
      <w:pPr>
        <w:pStyle w:val="ListBullet"/>
        <w:spacing w:before="0" w:after="50" w:line="276" w:lineRule="auto"/>
      </w:pPr>
      <w:r>
        <w:rPr>
          <w:rFonts w:ascii="Calibri" w:hAnsi="Calibri"/>
          <w:b/>
          <w:color w:val="1B365D"/>
          <w:sz w:val="20"/>
        </w:rPr>
        <w:t xml:space="preserve">Action Center / Approvals: </w:t>
      </w:r>
      <w:r>
        <w:rPr>
          <w:rFonts w:ascii="Calibri" w:hAnsi="Calibri"/>
          <w:color w:val="2C3E50"/>
          <w:sz w:val="20"/>
        </w:rPr>
        <w:t>Consolidated pending approvals queue for purchase orders, payment requests, expense claims, and discounts.</w:t>
      </w:r>
    </w:p>
    <w:p>
      <w:pPr>
        <w:keepNext/>
        <w:spacing w:before="280" w:after="80"/>
      </w:pPr>
      <w:r>
        <w:rPr>
          <w:rFonts w:ascii="Calibri" w:hAnsi="Calibri"/>
          <w:b/>
          <w:color w:val="2B547E"/>
          <w:sz w:val="25"/>
        </w:rPr>
        <w:t>4.2 Module 2: Masters &amp; System Configuration</w:t>
      </w:r>
    </w:p>
    <w:p>
      <w:pPr>
        <w:spacing w:before="0" w:after="80" w:line="276" w:lineRule="auto"/>
      </w:pPr>
      <w:r>
        <w:rPr>
          <w:rFonts w:ascii="Calibri" w:hAnsi="Calibri"/>
          <w:color w:val="2C3E50"/>
          <w:sz w:val="20"/>
        </w:rPr>
        <w:t>Centralized repository for all fundamental business parameters, reusable across the entire application.</w:t>
      </w:r>
    </w:p>
    <w:p>
      <w:pPr>
        <w:pStyle w:val="ListBullet"/>
        <w:spacing w:before="0" w:after="50" w:line="276" w:lineRule="auto"/>
      </w:pPr>
      <w:r>
        <w:rPr>
          <w:rFonts w:ascii="Calibri" w:hAnsi="Calibri"/>
          <w:b/>
          <w:color w:val="1B365D"/>
          <w:sz w:val="20"/>
        </w:rPr>
        <w:t xml:space="preserve">Organization Masters: </w:t>
      </w:r>
      <w:r>
        <w:rPr>
          <w:rFonts w:ascii="Calibri" w:hAnsi="Calibri"/>
          <w:color w:val="2C3E50"/>
          <w:sz w:val="20"/>
        </w:rPr>
        <w:t>Company legal profile, multi-branch definitions, GSTINs, PAN, TAN, corporate logo, and financial year definitions.</w:t>
      </w:r>
    </w:p>
    <w:p>
      <w:pPr>
        <w:pStyle w:val="ListBullet"/>
        <w:spacing w:before="0" w:after="50" w:line="276" w:lineRule="auto"/>
      </w:pPr>
      <w:r>
        <w:rPr>
          <w:rFonts w:ascii="Calibri" w:hAnsi="Calibri"/>
          <w:b/>
          <w:color w:val="1B365D"/>
          <w:sz w:val="20"/>
        </w:rPr>
        <w:t xml:space="preserve">Financial Masters: </w:t>
      </w:r>
      <w:r>
        <w:rPr>
          <w:rFonts w:ascii="Calibri" w:hAnsi="Calibri"/>
          <w:color w:val="2C3E50"/>
          <w:sz w:val="20"/>
        </w:rPr>
        <w:t>Chart of Accounts (Asset, Liability, Equity, Revenue, Expense), Account Groups, Voucher Numbering Sequences.</w:t>
      </w:r>
    </w:p>
    <w:p>
      <w:pPr>
        <w:pStyle w:val="ListBullet"/>
        <w:spacing w:before="0" w:after="50" w:line="276" w:lineRule="auto"/>
      </w:pPr>
      <w:r>
        <w:rPr>
          <w:rFonts w:ascii="Calibri" w:hAnsi="Calibri"/>
          <w:b/>
          <w:color w:val="1B365D"/>
          <w:sz w:val="20"/>
        </w:rPr>
        <w:t xml:space="preserve">Commercial Parties: </w:t>
      </w:r>
      <w:r>
        <w:rPr>
          <w:rFonts w:ascii="Calibri" w:hAnsi="Calibri"/>
          <w:color w:val="2C3E50"/>
          <w:sz w:val="20"/>
        </w:rPr>
        <w:t>Client Master (Billing/Shipping Address, Credit Terms, GSTIN, State Code), Vendor Master (Bank IFSC, MSME Type).</w:t>
      </w:r>
    </w:p>
    <w:p>
      <w:pPr>
        <w:pStyle w:val="ListBullet"/>
        <w:spacing w:before="0" w:after="50" w:line="276" w:lineRule="auto"/>
      </w:pPr>
      <w:r>
        <w:rPr>
          <w:rFonts w:ascii="Calibri" w:hAnsi="Calibri"/>
          <w:b/>
          <w:color w:val="1B365D"/>
          <w:sz w:val="20"/>
        </w:rPr>
        <w:t xml:space="preserve">Inventory &amp; Tax: </w:t>
      </w:r>
      <w:r>
        <w:rPr>
          <w:rFonts w:ascii="Calibri" w:hAnsi="Calibri"/>
          <w:color w:val="2C3E50"/>
          <w:sz w:val="20"/>
        </w:rPr>
        <w:t>Consumable Items, Categories, Units of Measure (UOM), Tax Rate Master (0%, 5%, 12%, 18%, 28%), HSN/SAC Code Master.</w:t>
      </w:r>
    </w:p>
    <w:p>
      <w:pPr>
        <w:pStyle w:val="ListBullet"/>
        <w:spacing w:before="0" w:after="50" w:line="276" w:lineRule="auto"/>
      </w:pPr>
      <w:r>
        <w:rPr>
          <w:rFonts w:ascii="Calibri" w:hAnsi="Calibri"/>
          <w:b/>
          <w:color w:val="1B365D"/>
          <w:sz w:val="20"/>
        </w:rPr>
        <w:t xml:space="preserve">Human Resources: </w:t>
      </w:r>
      <w:r>
        <w:rPr>
          <w:rFonts w:ascii="Calibri" w:hAnsi="Calibri"/>
          <w:color w:val="2C3E50"/>
          <w:sz w:val="20"/>
        </w:rPr>
        <w:t>Departments, Designations, Employee Types, Holiday Calendars, Leave Categories.</w:t>
      </w:r>
    </w:p>
    <w:p>
      <w:pPr>
        <w:pStyle w:val="ListBullet"/>
        <w:spacing w:before="0" w:after="50" w:line="276" w:lineRule="auto"/>
      </w:pPr>
      <w:r>
        <w:rPr>
          <w:rFonts w:ascii="Calibri" w:hAnsi="Calibri"/>
          <w:b/>
          <w:color w:val="1B365D"/>
          <w:sz w:val="20"/>
        </w:rPr>
        <w:t xml:space="preserve">Security &amp; Access: </w:t>
      </w:r>
      <w:r>
        <w:rPr>
          <w:rFonts w:ascii="Calibri" w:hAnsi="Calibri"/>
          <w:color w:val="2C3E50"/>
          <w:sz w:val="20"/>
        </w:rPr>
        <w:t>Roles, Granular Permissions (Module x Action matrix), User Accounts, Multi-Branch Access Rules.</w:t>
      </w:r>
    </w:p>
    <w:p>
      <w:pPr>
        <w:keepNext/>
        <w:spacing w:before="280" w:after="80"/>
      </w:pPr>
      <w:r>
        <w:rPr>
          <w:rFonts w:ascii="Calibri" w:hAnsi="Calibri"/>
          <w:b/>
          <w:color w:val="2B547E"/>
          <w:sz w:val="25"/>
        </w:rPr>
        <w:t>4.3 Module 3: Project Management &amp; Lifecycle Monitoring</w:t>
      </w:r>
    </w:p>
    <w:p>
      <w:pPr>
        <w:spacing w:before="0" w:after="80" w:line="276" w:lineRule="auto"/>
      </w:pPr>
      <w:r>
        <w:rPr>
          <w:rFonts w:ascii="Calibri" w:hAnsi="Calibri"/>
          <w:color w:val="2C3E50"/>
          <w:sz w:val="20"/>
        </w:rPr>
        <w:t>The central operational hub of SDK ERP. Every commercial and logistical action links back to a project.</w:t>
      </w:r>
    </w:p>
    <w:p>
      <w:pPr>
        <w:pStyle w:val="ListBullet"/>
        <w:spacing w:before="0" w:after="50" w:line="276" w:lineRule="auto"/>
      </w:pPr>
      <w:r>
        <w:rPr>
          <w:rFonts w:ascii="Calibri" w:hAnsi="Calibri"/>
          <w:b/>
          <w:color w:val="1B365D"/>
          <w:sz w:val="20"/>
        </w:rPr>
        <w:t xml:space="preserve">Project List &amp; Filter: </w:t>
      </w:r>
      <w:r>
        <w:rPr>
          <w:rFonts w:ascii="Calibri" w:hAnsi="Calibri"/>
          <w:color w:val="2C3E50"/>
          <w:sz w:val="20"/>
        </w:rPr>
        <w:t>Searchable grid displaying Project Code, Name, Client, Budget, Contract Value, Invoiced Amount, Received Amount, Expense Total, Status, and Health Index.</w:t>
      </w:r>
    </w:p>
    <w:p>
      <w:pPr>
        <w:pStyle w:val="ListBullet"/>
        <w:spacing w:before="0" w:after="50" w:line="276" w:lineRule="auto"/>
      </w:pPr>
      <w:r>
        <w:rPr>
          <w:rFonts w:ascii="Calibri" w:hAnsi="Calibri"/>
          <w:b/>
          <w:color w:val="1B365D"/>
          <w:sz w:val="20"/>
        </w:rPr>
        <w:t xml:space="preserve">11-Tab Project Workspace: </w:t>
      </w:r>
      <w:r>
        <w:rPr>
          <w:rFonts w:ascii="Calibri" w:hAnsi="Calibri"/>
          <w:color w:val="2C3E50"/>
          <w:sz w:val="20"/>
        </w:rPr>
        <w:t>Overview KPI summary, Basic Metadata, Client PO / Work Order, Sales &amp; Invoices, Payment Receipts, Procurement POs/GRNs, Deliveries, Project Expenses, Document Repository, Real-time P&amp;L Statement, and Audit Trail.</w:t>
      </w:r>
    </w:p>
    <w:p>
      <w:pPr>
        <w:pStyle w:val="ListBullet"/>
        <w:spacing w:before="0" w:after="50" w:line="276" w:lineRule="auto"/>
      </w:pPr>
      <w:r>
        <w:rPr>
          <w:rFonts w:ascii="Calibri" w:hAnsi="Calibri"/>
          <w:b/>
          <w:color w:val="1B365D"/>
          <w:sz w:val="20"/>
        </w:rPr>
        <w:t xml:space="preserve">Project Lifecycle State Machine: </w:t>
      </w:r>
      <w:r>
        <w:rPr>
          <w:rFonts w:ascii="Calibri" w:hAnsi="Calibri"/>
          <w:color w:val="2C3E50"/>
          <w:sz w:val="20"/>
        </w:rPr>
        <w:t>Pipeline -&gt; Active -&gt; On Hold (with reason log) -&gt; Completed (all deliveries done) -&gt; Closed (financial lock).</w:t>
      </w:r>
    </w:p>
    <w:tbl>
      <w:tblPr>
        <w:tblW w:type="auto" w:w="0"/>
        <w:jc w:val="center"/>
        <w:tblLook w:firstColumn="1" w:firstRow="1" w:lastColumn="0" w:lastRow="0" w:noHBand="0" w:noVBand="1" w:val="04A0"/>
      </w:tblPr>
      <w:tblGrid>
        <w:gridCol w:w="9936"/>
      </w:tblGrid>
      <w:tr>
        <w:tc>
          <w:tcPr>
            <w:tcW w:type="dxa" w:w="9936"/>
            <w:shd w:fill="F0F4F8"/>
            <w:tcMar>
              <w:top w:w="120" w:type="dxa"/>
              <w:bottom w:w="120" w:type="dxa"/>
              <w:left w:w="180" w:type="dxa"/>
              <w:right w:w="180" w:type="dxa"/>
            </w:tcMar>
            <w:tcBorders>
              <w:left w:val="single" w:sz="36" w:space="0" w:color="1B365D"/>
              <w:top w:val="none"/>
              <w:right w:val="none"/>
              <w:bottom w:val="none"/>
            </w:tcBorders>
          </w:tcPr>
          <w:p>
            <w:pPr>
              <w:spacing w:before="0" w:after="40"/>
            </w:pPr>
            <w:r>
              <w:rPr>
                <w:rFonts w:ascii="Calibri" w:hAnsi="Calibri"/>
                <w:b/>
                <w:color w:val="1B365D"/>
                <w:sz w:val="19"/>
              </w:rPr>
              <w:t xml:space="preserve">[PROJECT CLOSURE CONTROLS] </w:t>
            </w:r>
            <w:r>
              <w:rPr>
                <w:rFonts w:ascii="Calibri" w:hAnsi="Calibri"/>
                <w:color w:val="2C3E50"/>
                <w:sz w:val="19"/>
              </w:rPr>
              <w:t>Project Closure Protocol: A project cannot be set to 'Closed' until: (1) All deliveries are acknowledged, (2) All milestone invoices are raised, (3) Outstanding receivable balance is checked, (4) All vendor purchase bills are matched and accounted, (5) Direct expenses are verified, and (6) Final Project P&amp;L is locked. Once Closed, no user may post or edit transactions against the project without explicit 'Reopen Project' administrative approval.</w:t>
            </w:r>
          </w:p>
        </w:tc>
      </w:tr>
    </w:tbl>
    <w:p>
      <w:pPr>
        <w:spacing w:before="0" w:after="80"/>
      </w:pPr>
    </w:p>
    <w:p>
      <w:pPr>
        <w:keepNext/>
        <w:spacing w:before="280" w:after="80"/>
      </w:pPr>
      <w:r>
        <w:rPr>
          <w:rFonts w:ascii="Calibri" w:hAnsi="Calibri"/>
          <w:b/>
          <w:color w:val="2B547E"/>
          <w:sz w:val="25"/>
        </w:rPr>
        <w:t>4.4 Module 4: Sales, Billing &amp; Accounts Receivable</w:t>
      </w:r>
    </w:p>
    <w:p>
      <w:pPr>
        <w:spacing w:before="0" w:after="80" w:line="276" w:lineRule="auto"/>
      </w:pPr>
      <w:r>
        <w:rPr>
          <w:rFonts w:ascii="Calibri" w:hAnsi="Calibri"/>
          <w:color w:val="2C3E50"/>
          <w:sz w:val="20"/>
        </w:rPr>
        <w:t>Manages client-facing revenue workflows from initial quotation to receipt settlement.</w:t>
      </w:r>
    </w:p>
    <w:p>
      <w:pPr>
        <w:pStyle w:val="ListBullet"/>
        <w:spacing w:before="0" w:after="50" w:line="276" w:lineRule="auto"/>
      </w:pPr>
      <w:r>
        <w:rPr>
          <w:rFonts w:ascii="Calibri" w:hAnsi="Calibri"/>
          <w:b/>
          <w:color w:val="1B365D"/>
          <w:sz w:val="20"/>
        </w:rPr>
        <w:t xml:space="preserve">Quotations &amp; Proforma Invoices: </w:t>
      </w:r>
      <w:r>
        <w:rPr>
          <w:rFonts w:ascii="Calibri" w:hAnsi="Calibri"/>
          <w:color w:val="2C3E50"/>
          <w:sz w:val="20"/>
        </w:rPr>
        <w:t>Create formal quotes with itemized deliverables, discounts, GST breakdown, terms, and convert directly into Sales Order.</w:t>
      </w:r>
    </w:p>
    <w:p>
      <w:pPr>
        <w:pStyle w:val="ListBullet"/>
        <w:spacing w:before="0" w:after="50" w:line="276" w:lineRule="auto"/>
      </w:pPr>
      <w:r>
        <w:rPr>
          <w:rFonts w:ascii="Calibri" w:hAnsi="Calibri"/>
          <w:b/>
          <w:color w:val="1B365D"/>
          <w:sz w:val="20"/>
        </w:rPr>
        <w:t xml:space="preserve">Sales Orders: </w:t>
      </w:r>
      <w:r>
        <w:rPr>
          <w:rFonts w:ascii="Calibri" w:hAnsi="Calibri"/>
          <w:color w:val="2C3E50"/>
          <w:sz w:val="20"/>
        </w:rPr>
        <w:t>Binds client PO to internal milestones, tracks billable progress, and triggers billing alerts.</w:t>
      </w:r>
    </w:p>
    <w:p>
      <w:pPr>
        <w:pStyle w:val="ListBullet"/>
        <w:spacing w:before="0" w:after="50" w:line="276" w:lineRule="auto"/>
      </w:pPr>
      <w:r>
        <w:rPr>
          <w:rFonts w:ascii="Calibri" w:hAnsi="Calibri"/>
          <w:b/>
          <w:color w:val="1B365D"/>
          <w:sz w:val="20"/>
        </w:rPr>
        <w:t xml:space="preserve">Tax Invoicing Engine: </w:t>
      </w:r>
      <w:r>
        <w:rPr>
          <w:rFonts w:ascii="Calibri" w:hAnsi="Calibri"/>
          <w:color w:val="2C3E50"/>
          <w:sz w:val="20"/>
        </w:rPr>
        <w:t>Compliant tax invoice generation with HSN/SAC, CGST/SGST/IGST, place of supply, reverse charge indicator, and automated QR/E-Invoice readiness.</w:t>
      </w:r>
    </w:p>
    <w:p>
      <w:pPr>
        <w:pStyle w:val="ListBullet"/>
        <w:spacing w:before="0" w:after="50" w:line="276" w:lineRule="auto"/>
      </w:pPr>
      <w:r>
        <w:rPr>
          <w:rFonts w:ascii="Calibri" w:hAnsi="Calibri"/>
          <w:b/>
          <w:color w:val="1B365D"/>
          <w:sz w:val="20"/>
        </w:rPr>
        <w:t xml:space="preserve">Multi-Invoice Payment Allocation: </w:t>
      </w:r>
      <w:r>
        <w:rPr>
          <w:rFonts w:ascii="Calibri" w:hAnsi="Calibri"/>
          <w:color w:val="2C3E50"/>
          <w:sz w:val="20"/>
        </w:rPr>
        <w:t>Allows a single client remittance (e.g. ₹10,00,000) to be split across multiple open invoices (e.g. ₹4L against INV-001, ₹3L against INV-002, ₹3L against INV-003) with real-time balance reduction.</w:t>
      </w:r>
    </w:p>
    <w:p>
      <w:pPr>
        <w:pStyle w:val="ListBullet"/>
        <w:spacing w:before="0" w:after="50" w:line="276" w:lineRule="auto"/>
      </w:pPr>
      <w:r>
        <w:rPr>
          <w:rFonts w:ascii="Calibri" w:hAnsi="Calibri"/>
          <w:b/>
          <w:color w:val="1B365D"/>
          <w:sz w:val="20"/>
        </w:rPr>
        <w:t xml:space="preserve">Credit &amp; Debit Notes: </w:t>
      </w:r>
      <w:r>
        <w:rPr>
          <w:rFonts w:ascii="Calibri" w:hAnsi="Calibri"/>
          <w:color w:val="2C3E50"/>
          <w:sz w:val="20"/>
        </w:rPr>
        <w:t>Issued against returned deliveries, price adjustments, or billing corrections with linked accounting entries.</w:t>
      </w:r>
    </w:p>
    <w:p>
      <w:pPr>
        <w:pStyle w:val="ListBullet"/>
        <w:spacing w:before="0" w:after="50" w:line="276" w:lineRule="auto"/>
      </w:pPr>
      <w:r>
        <w:rPr>
          <w:rFonts w:ascii="Calibri" w:hAnsi="Calibri"/>
          <w:b/>
          <w:color w:val="1B365D"/>
          <w:sz w:val="20"/>
        </w:rPr>
        <w:t xml:space="preserve">Invoice Status Workflow: </w:t>
      </w:r>
      <w:r>
        <w:rPr>
          <w:rFonts w:ascii="Calibri" w:hAnsi="Calibri"/>
          <w:color w:val="2C3E50"/>
          <w:sz w:val="20"/>
        </w:rPr>
        <w:t>Draft -&gt; Pending Approval -&gt; Approved -&gt; Sent -&gt; Partially Paid -&gt; Paid -&gt; Overdue -&gt; Cancelled (Reversed).</w:t>
      </w:r>
    </w:p>
    <w:p>
      <w:pPr>
        <w:keepNext/>
        <w:spacing w:before="280" w:after="80"/>
      </w:pPr>
      <w:r>
        <w:rPr>
          <w:rFonts w:ascii="Calibri" w:hAnsi="Calibri"/>
          <w:b/>
          <w:color w:val="2B547E"/>
          <w:sz w:val="25"/>
        </w:rPr>
        <w:t>4.5 Module 5: Procurement &amp; Office Consumables Inventory</w:t>
      </w:r>
    </w:p>
    <w:p>
      <w:pPr>
        <w:spacing w:before="0" w:after="80" w:line="276" w:lineRule="auto"/>
      </w:pPr>
      <w:r>
        <w:rPr>
          <w:rFonts w:ascii="Calibri" w:hAnsi="Calibri"/>
          <w:color w:val="2C3E50"/>
          <w:sz w:val="20"/>
        </w:rPr>
        <w:t>Controls organizational purchasing and manages internal-use office supplies (strictly non-commercial).</w:t>
      </w:r>
    </w:p>
    <w:p>
      <w:pPr>
        <w:pStyle w:val="ListBullet"/>
        <w:spacing w:before="0" w:after="50" w:line="276" w:lineRule="auto"/>
      </w:pPr>
      <w:r>
        <w:rPr>
          <w:rFonts w:ascii="Calibri" w:hAnsi="Calibri"/>
          <w:b/>
          <w:color w:val="1B365D"/>
          <w:sz w:val="20"/>
        </w:rPr>
        <w:t xml:space="preserve">Purchase Requisition (PR): </w:t>
      </w:r>
      <w:r>
        <w:rPr>
          <w:rFonts w:ascii="Calibri" w:hAnsi="Calibri"/>
          <w:color w:val="2C3E50"/>
          <w:sz w:val="20"/>
        </w:rPr>
        <w:t>Internal department or project-level request for supplies/services with approval routing.</w:t>
      </w:r>
    </w:p>
    <w:p>
      <w:pPr>
        <w:pStyle w:val="ListBullet"/>
        <w:spacing w:before="0" w:after="50" w:line="276" w:lineRule="auto"/>
      </w:pPr>
      <w:r>
        <w:rPr>
          <w:rFonts w:ascii="Calibri" w:hAnsi="Calibri"/>
          <w:b/>
          <w:color w:val="1B365D"/>
          <w:sz w:val="20"/>
        </w:rPr>
        <w:t xml:space="preserve">Purchase Order (PO): </w:t>
      </w:r>
      <w:r>
        <w:rPr>
          <w:rFonts w:ascii="Calibri" w:hAnsi="Calibri"/>
          <w:color w:val="2C3E50"/>
          <w:sz w:val="20"/>
        </w:rPr>
        <w:t>Contractual order issued to approved vendor specifying item codes, quantities, agreed unit rates, delivery schedules, and tax terms.</w:t>
      </w:r>
    </w:p>
    <w:p>
      <w:pPr>
        <w:pStyle w:val="ListBullet"/>
        <w:spacing w:before="0" w:after="50" w:line="276" w:lineRule="auto"/>
      </w:pPr>
      <w:r>
        <w:rPr>
          <w:rFonts w:ascii="Calibri" w:hAnsi="Calibri"/>
          <w:b/>
          <w:color w:val="1B365D"/>
          <w:sz w:val="20"/>
        </w:rPr>
        <w:t xml:space="preserve">Goods Receipt Note (GRN): </w:t>
      </w:r>
      <w:r>
        <w:rPr>
          <w:rFonts w:ascii="Calibri" w:hAnsi="Calibri"/>
          <w:color w:val="2C3E50"/>
          <w:sz w:val="20"/>
        </w:rPr>
        <w:t>Physical receiving record documenting accepted vs rejected quantities with vendor delivery challan reference.</w:t>
      </w:r>
    </w:p>
    <w:p>
      <w:pPr>
        <w:pStyle w:val="ListBullet"/>
        <w:spacing w:before="0" w:after="50" w:line="276" w:lineRule="auto"/>
      </w:pPr>
      <w:r>
        <w:rPr>
          <w:rFonts w:ascii="Calibri" w:hAnsi="Calibri"/>
          <w:b/>
          <w:color w:val="1B365D"/>
          <w:sz w:val="20"/>
        </w:rPr>
        <w:t xml:space="preserve">Purchase Bill (3-Way Match): </w:t>
      </w:r>
      <w:r>
        <w:rPr>
          <w:rFonts w:ascii="Calibri" w:hAnsi="Calibri"/>
          <w:color w:val="2C3E50"/>
          <w:sz w:val="20"/>
        </w:rPr>
        <w:t>Automated 3-way reconciliation (PO vs GRN vs Vendor Bill) to prevent over-billing before payable posting.</w:t>
      </w:r>
    </w:p>
    <w:p>
      <w:pPr>
        <w:pStyle w:val="ListBullet"/>
        <w:spacing w:before="0" w:after="50" w:line="276" w:lineRule="auto"/>
      </w:pPr>
      <w:r>
        <w:rPr>
          <w:rFonts w:ascii="Calibri" w:hAnsi="Calibri"/>
          <w:b/>
          <w:color w:val="1B365D"/>
          <w:sz w:val="20"/>
        </w:rPr>
        <w:t xml:space="preserve">Office Consumables Inventory: </w:t>
      </w:r>
      <w:r>
        <w:rPr>
          <w:rFonts w:ascii="Calibri" w:hAnsi="Calibri"/>
          <w:color w:val="2C3E50"/>
          <w:sz w:val="20"/>
        </w:rPr>
        <w:t>Internal stock register for office consumables (stationery, printer toner, cleaning supplies, pantry stock). Supports Stock In (from GRN), Stock Out / Issue (to employee/dept), Stock Adjustment, and Low Stock Alerts.</w:t>
      </w:r>
    </w:p>
    <w:tbl>
      <w:tblPr>
        <w:tblW w:type="auto" w:w="0"/>
        <w:jc w:val="center"/>
        <w:tblLook w:firstColumn="1" w:firstRow="1" w:lastColumn="0" w:lastRow="0" w:noHBand="0" w:noVBand="1" w:val="04A0"/>
      </w:tblPr>
      <w:tblGrid>
        <w:gridCol w:w="9936"/>
      </w:tblGrid>
      <w:tr>
        <w:tc>
          <w:tcPr>
            <w:tcW w:type="dxa" w:w="9936"/>
            <w:shd w:fill="F0F4F8"/>
            <w:tcMar>
              <w:top w:w="120" w:type="dxa"/>
              <w:bottom w:w="120" w:type="dxa"/>
              <w:left w:w="180" w:type="dxa"/>
              <w:right w:w="180" w:type="dxa"/>
            </w:tcMar>
            <w:tcBorders>
              <w:left w:val="single" w:sz="36" w:space="0" w:color="1B365D"/>
              <w:top w:val="none"/>
              <w:right w:val="none"/>
              <w:bottom w:val="none"/>
            </w:tcBorders>
          </w:tcPr>
          <w:p>
            <w:pPr>
              <w:spacing w:before="0" w:after="40"/>
            </w:pPr>
            <w:r>
              <w:rPr>
                <w:rFonts w:ascii="Calibri" w:hAnsi="Calibri"/>
                <w:b/>
                <w:color w:val="1B365D"/>
                <w:sz w:val="19"/>
              </w:rPr>
              <w:t xml:space="preserve">[INVENTORY VS ASSET SEPARATION] </w:t>
            </w:r>
            <w:r>
              <w:rPr>
                <w:rFonts w:ascii="Calibri" w:hAnsi="Calibri"/>
                <w:color w:val="2C3E50"/>
                <w:sz w:val="19"/>
              </w:rPr>
              <w:t>Scope Boundary: Office Inventory is strictly for internal consumables. Durable, high-value assets (laptops, monitors, machinery, office furniture) must be registered under Module 11 (Asset Management) to support capitalization, depreciation schedules, and employee custodian tracking.</w:t>
            </w:r>
          </w:p>
        </w:tc>
      </w:tr>
    </w:tbl>
    <w:p>
      <w:pPr>
        <w:spacing w:before="0" w:after="80"/>
      </w:pPr>
    </w:p>
    <w:p>
      <w:pPr>
        <w:keepNext/>
        <w:spacing w:before="280" w:after="80"/>
      </w:pPr>
      <w:r>
        <w:rPr>
          <w:rFonts w:ascii="Calibri" w:hAnsi="Calibri"/>
          <w:b/>
          <w:color w:val="2B547E"/>
          <w:sz w:val="25"/>
        </w:rPr>
        <w:t>4.6 Module 6: Financial Accounting, Ledgers &amp; Payments</w:t>
      </w:r>
    </w:p>
    <w:p>
      <w:pPr>
        <w:spacing w:before="0" w:after="80" w:line="276" w:lineRule="auto"/>
      </w:pPr>
      <w:r>
        <w:rPr>
          <w:rFonts w:ascii="Calibri" w:hAnsi="Calibri"/>
          <w:color w:val="2C3E50"/>
          <w:sz w:val="20"/>
        </w:rPr>
        <w:t>Full double-entry general ledger accounting engine operating in real-time.</w:t>
      </w:r>
    </w:p>
    <w:p>
      <w:pPr>
        <w:pStyle w:val="ListBullet"/>
        <w:spacing w:before="0" w:after="50" w:line="276" w:lineRule="auto"/>
      </w:pPr>
      <w:r>
        <w:rPr>
          <w:rFonts w:ascii="Calibri" w:hAnsi="Calibri"/>
          <w:b/>
          <w:color w:val="1B365D"/>
          <w:sz w:val="20"/>
        </w:rPr>
        <w:t xml:space="preserve">Chart of Accounts: </w:t>
      </w:r>
      <w:r>
        <w:rPr>
          <w:rFonts w:ascii="Calibri" w:hAnsi="Calibri"/>
          <w:color w:val="2C3E50"/>
          <w:sz w:val="20"/>
        </w:rPr>
        <w:t>Configurable 5-level hierarchical chart of accounts supporting multi-branch accounting.</w:t>
      </w:r>
    </w:p>
    <w:p>
      <w:pPr>
        <w:pStyle w:val="ListBullet"/>
        <w:spacing w:before="0" w:after="50" w:line="276" w:lineRule="auto"/>
      </w:pPr>
      <w:r>
        <w:rPr>
          <w:rFonts w:ascii="Calibri" w:hAnsi="Calibri"/>
          <w:b/>
          <w:color w:val="1B365D"/>
          <w:sz w:val="20"/>
        </w:rPr>
        <w:t xml:space="preserve">Voucher Management: </w:t>
      </w:r>
      <w:r>
        <w:rPr>
          <w:rFonts w:ascii="Calibri" w:hAnsi="Calibri"/>
          <w:color w:val="2C3E50"/>
          <w:sz w:val="20"/>
        </w:rPr>
        <w:t>Automated balanced voucher generation for Sales, Purchases, Receipts, Payments, Contra, and manual Journal Vouchers (JV).</w:t>
      </w:r>
    </w:p>
    <w:p>
      <w:pPr>
        <w:pStyle w:val="ListBullet"/>
        <w:spacing w:before="0" w:after="50" w:line="276" w:lineRule="auto"/>
      </w:pPr>
      <w:r>
        <w:rPr>
          <w:rFonts w:ascii="Calibri" w:hAnsi="Calibri"/>
          <w:b/>
          <w:color w:val="1B365D"/>
          <w:sz w:val="20"/>
        </w:rPr>
        <w:t xml:space="preserve">Ledger Ecosystem: </w:t>
      </w:r>
      <w:r>
        <w:rPr>
          <w:rFonts w:ascii="Calibri" w:hAnsi="Calibri"/>
          <w:color w:val="2C3E50"/>
          <w:sz w:val="20"/>
        </w:rPr>
        <w:t>Real-time General Ledger, Client Sub-Ledger, Vendor Sub-Ledger, and Expense Head Ledgers.</w:t>
      </w:r>
    </w:p>
    <w:p>
      <w:pPr>
        <w:pStyle w:val="ListBullet"/>
        <w:spacing w:before="0" w:after="50" w:line="276" w:lineRule="auto"/>
      </w:pPr>
      <w:r>
        <w:rPr>
          <w:rFonts w:ascii="Calibri" w:hAnsi="Calibri"/>
          <w:b/>
          <w:color w:val="1B365D"/>
          <w:sz w:val="20"/>
        </w:rPr>
        <w:t xml:space="preserve">Financial Statements: </w:t>
      </w:r>
      <w:r>
        <w:rPr>
          <w:rFonts w:ascii="Calibri" w:hAnsi="Calibri"/>
          <w:color w:val="2C3E50"/>
          <w:sz w:val="20"/>
        </w:rPr>
        <w:t>Trial Balance, Profit &amp; Loss Statement (Income vs Expense), Balance Sheet, and Direct/Indirect Cash Flow Statements.</w:t>
      </w:r>
    </w:p>
    <w:p>
      <w:pPr>
        <w:pStyle w:val="ListBullet"/>
        <w:spacing w:before="0" w:after="50" w:line="276" w:lineRule="auto"/>
      </w:pPr>
      <w:r>
        <w:rPr>
          <w:rFonts w:ascii="Calibri" w:hAnsi="Calibri"/>
          <w:b/>
          <w:color w:val="1B365D"/>
          <w:sz w:val="20"/>
        </w:rPr>
        <w:t xml:space="preserve">Common Payment Engine: </w:t>
      </w:r>
      <w:r>
        <w:rPr>
          <w:rFonts w:ascii="Calibri" w:hAnsi="Calibri"/>
          <w:color w:val="2C3E50"/>
          <w:sz w:val="20"/>
        </w:rPr>
        <w:t>Unified disbursement engine handling Vendor Bills, Employee Expense Reimbursements, Direct Utility Payments, Advance Settlements, and Petty Cash Top-ups.</w:t>
      </w:r>
    </w:p>
    <w:p>
      <w:pPr>
        <w:keepNext/>
        <w:spacing w:before="280" w:after="80"/>
      </w:pPr>
      <w:r>
        <w:rPr>
          <w:rFonts w:ascii="Calibri" w:hAnsi="Calibri"/>
          <w:b/>
          <w:color w:val="2B547E"/>
          <w:sz w:val="25"/>
        </w:rPr>
        <w:t>4.7 Module 7: GST Compliance, Tax Engines &amp; ITC Reconciliation</w:t>
      </w:r>
    </w:p>
    <w:p>
      <w:pPr>
        <w:spacing w:before="0" w:after="80" w:line="276" w:lineRule="auto"/>
      </w:pPr>
      <w:r>
        <w:rPr>
          <w:rFonts w:ascii="Calibri" w:hAnsi="Calibri"/>
          <w:color w:val="2C3E50"/>
          <w:sz w:val="20"/>
        </w:rPr>
        <w:t>Automated tax compliance system built for Indian Goods and Services Tax (GST) regulations.</w:t>
      </w:r>
    </w:p>
    <w:p>
      <w:pPr>
        <w:pStyle w:val="ListBullet"/>
        <w:spacing w:before="0" w:after="50" w:line="276" w:lineRule="auto"/>
      </w:pPr>
      <w:r>
        <w:rPr>
          <w:rFonts w:ascii="Calibri" w:hAnsi="Calibri"/>
          <w:b/>
          <w:color w:val="1B365D"/>
          <w:sz w:val="20"/>
        </w:rPr>
        <w:t xml:space="preserve">Dynamic Tax Engine: </w:t>
      </w:r>
      <w:r>
        <w:rPr>
          <w:rFonts w:ascii="Calibri" w:hAnsi="Calibri"/>
          <w:color w:val="2C3E50"/>
          <w:sz w:val="20"/>
        </w:rPr>
        <w:t>Automates CGST + SGST (intra-state) vs IGST (inter-state) based on Supplier State vs Client Place of Supply (POS).</w:t>
      </w:r>
    </w:p>
    <w:p>
      <w:pPr>
        <w:pStyle w:val="ListBullet"/>
        <w:spacing w:before="0" w:after="50" w:line="276" w:lineRule="auto"/>
      </w:pPr>
      <w:r>
        <w:rPr>
          <w:rFonts w:ascii="Calibri" w:hAnsi="Calibri"/>
          <w:b/>
          <w:color w:val="1B365D"/>
          <w:sz w:val="20"/>
        </w:rPr>
        <w:t xml:space="preserve">GSTR-1 Outward Return: </w:t>
      </w:r>
      <w:r>
        <w:rPr>
          <w:rFonts w:ascii="Calibri" w:hAnsi="Calibri"/>
          <w:color w:val="2C3E50"/>
          <w:sz w:val="20"/>
        </w:rPr>
        <w:t>Consolidates B2B taxable invoices, B2C large/small sales, credit notes, and zero-rated exports.</w:t>
      </w:r>
    </w:p>
    <w:p>
      <w:pPr>
        <w:pStyle w:val="ListBullet"/>
        <w:spacing w:before="0" w:after="50" w:line="276" w:lineRule="auto"/>
      </w:pPr>
      <w:r>
        <w:rPr>
          <w:rFonts w:ascii="Calibri" w:hAnsi="Calibri"/>
          <w:b/>
          <w:color w:val="1B365D"/>
          <w:sz w:val="20"/>
        </w:rPr>
        <w:t xml:space="preserve">GSTR-3B Return Preparation: </w:t>
      </w:r>
      <w:r>
        <w:rPr>
          <w:rFonts w:ascii="Calibri" w:hAnsi="Calibri"/>
          <w:color w:val="2C3E50"/>
          <w:sz w:val="20"/>
        </w:rPr>
        <w:t>Automates monthly summary of outward supplies, eligible ITC, ineligible ITC, and net cash tax liability.</w:t>
      </w:r>
    </w:p>
    <w:p>
      <w:pPr>
        <w:pStyle w:val="ListBullet"/>
        <w:spacing w:before="0" w:after="50" w:line="276" w:lineRule="auto"/>
      </w:pPr>
      <w:r>
        <w:rPr>
          <w:rFonts w:ascii="Calibri" w:hAnsi="Calibri"/>
          <w:b/>
          <w:color w:val="1B365D"/>
          <w:sz w:val="20"/>
        </w:rPr>
        <w:t xml:space="preserve">GSTR-2B ITC Reconciliation: </w:t>
      </w:r>
      <w:r>
        <w:rPr>
          <w:rFonts w:ascii="Calibri" w:hAnsi="Calibri"/>
          <w:color w:val="2C3E50"/>
          <w:sz w:val="20"/>
        </w:rPr>
        <w:t>Automated matching of Purchase Bills against auto-drafted GSTR-2B data. Flags 'Matched', 'Value Mismatch', 'Missing in Books', and 'Missing in Portal' to prevent ITC loss.</w:t>
      </w:r>
    </w:p>
    <w:p>
      <w:pPr>
        <w:pStyle w:val="ListBullet"/>
        <w:spacing w:before="0" w:after="50" w:line="276" w:lineRule="auto"/>
      </w:pPr>
      <w:r>
        <w:rPr>
          <w:rFonts w:ascii="Calibri" w:hAnsi="Calibri"/>
          <w:b/>
          <w:color w:val="1B365D"/>
          <w:sz w:val="20"/>
        </w:rPr>
        <w:t xml:space="preserve">E-Invoice &amp; E-Way Bill: </w:t>
      </w:r>
      <w:r>
        <w:rPr>
          <w:rFonts w:ascii="Calibri" w:hAnsi="Calibri"/>
          <w:color w:val="2C3E50"/>
          <w:sz w:val="20"/>
        </w:rPr>
        <w:t>Standardized JSON payload schemas for government E-Invoice (IRN generation) and E-Way Bill portals.</w:t>
      </w:r>
    </w:p>
    <w:p>
      <w:pPr>
        <w:keepNext/>
        <w:spacing w:before="280" w:after="80"/>
      </w:pPr>
      <w:r>
        <w:rPr>
          <w:rFonts w:ascii="Calibri" w:hAnsi="Calibri"/>
          <w:b/>
          <w:color w:val="2B547E"/>
          <w:sz w:val="25"/>
        </w:rPr>
        <w:t>4.8 Module 8: Cash &amp; Bank Management</w:t>
      </w:r>
    </w:p>
    <w:p>
      <w:pPr>
        <w:spacing w:before="0" w:after="80" w:line="276" w:lineRule="auto"/>
      </w:pPr>
      <w:r>
        <w:rPr>
          <w:rFonts w:ascii="Calibri" w:hAnsi="Calibri"/>
          <w:color w:val="2C3E50"/>
          <w:sz w:val="20"/>
        </w:rPr>
        <w:t>Controls liquidity, multiple corporate bank accounts, petty cash floats, and reconciliations.</w:t>
      </w:r>
    </w:p>
    <w:p>
      <w:pPr>
        <w:pStyle w:val="ListBullet"/>
        <w:spacing w:before="0" w:after="50" w:line="276" w:lineRule="auto"/>
      </w:pPr>
      <w:r>
        <w:rPr>
          <w:rFonts w:ascii="Calibri" w:hAnsi="Calibri"/>
          <w:b/>
          <w:color w:val="1B365D"/>
          <w:sz w:val="20"/>
        </w:rPr>
        <w:t xml:space="preserve">Multi-Bank Accounts: </w:t>
      </w:r>
      <w:r>
        <w:rPr>
          <w:rFonts w:ascii="Calibri" w:hAnsi="Calibri"/>
          <w:color w:val="2C3E50"/>
          <w:sz w:val="20"/>
        </w:rPr>
        <w:t>Current accounts, savings accounts, overdraft/cash credit facilities with real-time book balance tracking.</w:t>
      </w:r>
    </w:p>
    <w:p>
      <w:pPr>
        <w:pStyle w:val="ListBullet"/>
        <w:spacing w:before="0" w:after="50" w:line="276" w:lineRule="auto"/>
      </w:pPr>
      <w:r>
        <w:rPr>
          <w:rFonts w:ascii="Calibri" w:hAnsi="Calibri"/>
          <w:b/>
          <w:color w:val="1B365D"/>
          <w:sz w:val="20"/>
        </w:rPr>
        <w:t xml:space="preserve">Bank Transactions: </w:t>
      </w:r>
      <w:r>
        <w:rPr>
          <w:rFonts w:ascii="Calibri" w:hAnsi="Calibri"/>
          <w:color w:val="2C3E50"/>
          <w:sz w:val="20"/>
        </w:rPr>
        <w:t>Inter-account fund transfers, RTGS/NEFT/IMPS entries, Cheque tracking with clearance status.</w:t>
      </w:r>
    </w:p>
    <w:p>
      <w:pPr>
        <w:pStyle w:val="ListBullet"/>
        <w:spacing w:before="0" w:after="50" w:line="276" w:lineRule="auto"/>
      </w:pPr>
      <w:r>
        <w:rPr>
          <w:rFonts w:ascii="Calibri" w:hAnsi="Calibri"/>
          <w:b/>
          <w:color w:val="1B365D"/>
          <w:sz w:val="20"/>
        </w:rPr>
        <w:t xml:space="preserve">Bank Reconciliation (BRS): </w:t>
      </w:r>
      <w:r>
        <w:rPr>
          <w:rFonts w:ascii="Calibri" w:hAnsi="Calibri"/>
          <w:color w:val="2C3E50"/>
          <w:sz w:val="20"/>
        </w:rPr>
        <w:t>Import bank statements (CSV/OFX) to match book transactions against bank feed, capturing bank charges and interest.</w:t>
      </w:r>
    </w:p>
    <w:p>
      <w:pPr>
        <w:pStyle w:val="ListBullet"/>
        <w:spacing w:before="0" w:after="50" w:line="276" w:lineRule="auto"/>
      </w:pPr>
      <w:r>
        <w:rPr>
          <w:rFonts w:ascii="Calibri" w:hAnsi="Calibri"/>
          <w:b/>
          <w:color w:val="1B365D"/>
          <w:sz w:val="20"/>
        </w:rPr>
        <w:t xml:space="preserve">Petty Cash Management: </w:t>
      </w:r>
      <w:r>
        <w:rPr>
          <w:rFonts w:ascii="Calibri" w:hAnsi="Calibri"/>
          <w:color w:val="2C3E50"/>
          <w:sz w:val="20"/>
        </w:rPr>
        <w:t>Imprest petty cash float management with expense voucher verification and top-up approvals.</w:t>
      </w:r>
    </w:p>
    <w:p>
      <w:pPr>
        <w:pStyle w:val="ListBullet"/>
        <w:spacing w:before="0" w:after="50" w:line="276" w:lineRule="auto"/>
      </w:pPr>
      <w:r>
        <w:rPr>
          <w:rFonts w:ascii="Calibri" w:hAnsi="Calibri"/>
          <w:b/>
          <w:color w:val="1B365D"/>
          <w:sz w:val="20"/>
        </w:rPr>
        <w:t xml:space="preserve">Subscriptions &amp; Deposits: </w:t>
      </w:r>
      <w:r>
        <w:rPr>
          <w:rFonts w:ascii="Calibri" w:hAnsi="Calibri"/>
          <w:color w:val="2C3E50"/>
          <w:sz w:val="20"/>
        </w:rPr>
        <w:t>Tracking recurring software subscriptions and client/vendor security deposits.</w:t>
      </w:r>
    </w:p>
    <w:p>
      <w:pPr>
        <w:keepNext/>
        <w:spacing w:before="280" w:after="80"/>
      </w:pPr>
      <w:r>
        <w:rPr>
          <w:rFonts w:ascii="Calibri" w:hAnsi="Calibri"/>
          <w:b/>
          <w:color w:val="2B547E"/>
          <w:sz w:val="25"/>
        </w:rPr>
        <w:t>4.9 Module 9: Payroll &amp; Employee Operations</w:t>
      </w:r>
    </w:p>
    <w:p>
      <w:pPr>
        <w:spacing w:before="0" w:after="80" w:line="276" w:lineRule="auto"/>
      </w:pPr>
      <w:r>
        <w:rPr>
          <w:rFonts w:ascii="Calibri" w:hAnsi="Calibri"/>
          <w:color w:val="2C3E50"/>
          <w:sz w:val="20"/>
        </w:rPr>
        <w:t>Manages human resource records, salary computations, deductions, and leave balances.</w:t>
      </w:r>
    </w:p>
    <w:p>
      <w:pPr>
        <w:pStyle w:val="ListBullet"/>
        <w:spacing w:before="0" w:after="50" w:line="276" w:lineRule="auto"/>
      </w:pPr>
      <w:r>
        <w:rPr>
          <w:rFonts w:ascii="Calibri" w:hAnsi="Calibri"/>
          <w:b/>
          <w:color w:val="1B365D"/>
          <w:sz w:val="20"/>
        </w:rPr>
        <w:t xml:space="preserve">Employee Profiles: </w:t>
      </w:r>
      <w:r>
        <w:rPr>
          <w:rFonts w:ascii="Calibri" w:hAnsi="Calibri"/>
          <w:color w:val="2C3E50"/>
          <w:sz w:val="20"/>
        </w:rPr>
        <w:t>Personal details, emergency contacts, PAN, Aadhaar, Bank Details, PF/UAN, ESI, and Reporting Hierarchy.</w:t>
      </w:r>
    </w:p>
    <w:p>
      <w:pPr>
        <w:pStyle w:val="ListBullet"/>
        <w:spacing w:before="0" w:after="50" w:line="276" w:lineRule="auto"/>
      </w:pPr>
      <w:r>
        <w:rPr>
          <w:rFonts w:ascii="Calibri" w:hAnsi="Calibri"/>
          <w:b/>
          <w:color w:val="1B365D"/>
          <w:sz w:val="20"/>
        </w:rPr>
        <w:t xml:space="preserve">Salary Structures: </w:t>
      </w:r>
      <w:r>
        <w:rPr>
          <w:rFonts w:ascii="Calibri" w:hAnsi="Calibri"/>
          <w:color w:val="2C3E50"/>
          <w:sz w:val="20"/>
        </w:rPr>
        <w:t>Configurable earnings (Basic, HRA, Special Allowance) and statutory deductions (PF, Professional Tax, TDS).</w:t>
      </w:r>
    </w:p>
    <w:p>
      <w:pPr>
        <w:pStyle w:val="ListBullet"/>
        <w:spacing w:before="0" w:after="50" w:line="276" w:lineRule="auto"/>
      </w:pPr>
      <w:r>
        <w:rPr>
          <w:rFonts w:ascii="Calibri" w:hAnsi="Calibri"/>
          <w:b/>
          <w:color w:val="1B365D"/>
          <w:sz w:val="20"/>
        </w:rPr>
        <w:t xml:space="preserve">Monthly Payroll Runs: </w:t>
      </w:r>
      <w:r>
        <w:rPr>
          <w:rFonts w:ascii="Calibri" w:hAnsi="Calibri"/>
          <w:color w:val="2C3E50"/>
          <w:sz w:val="20"/>
        </w:rPr>
        <w:t>Automated monthly payroll calculation based on biometric/attendance logs, approved leaves, and salary advance deductions.</w:t>
      </w:r>
    </w:p>
    <w:p>
      <w:pPr>
        <w:pStyle w:val="ListBullet"/>
        <w:spacing w:before="0" w:after="50" w:line="276" w:lineRule="auto"/>
      </w:pPr>
      <w:r>
        <w:rPr>
          <w:rFonts w:ascii="Calibri" w:hAnsi="Calibri"/>
          <w:b/>
          <w:color w:val="1B365D"/>
          <w:sz w:val="20"/>
        </w:rPr>
        <w:t xml:space="preserve">Salary Advances: </w:t>
      </w:r>
      <w:r>
        <w:rPr>
          <w:rFonts w:ascii="Calibri" w:hAnsi="Calibri"/>
          <w:color w:val="2C3E50"/>
          <w:sz w:val="20"/>
        </w:rPr>
        <w:t>Employee advance requests, approval routing, and automated monthly installment deduction from salary.</w:t>
      </w:r>
    </w:p>
    <w:p>
      <w:pPr>
        <w:pStyle w:val="ListBullet"/>
        <w:spacing w:before="0" w:after="50" w:line="276" w:lineRule="auto"/>
      </w:pPr>
      <w:r>
        <w:rPr>
          <w:rFonts w:ascii="Calibri" w:hAnsi="Calibri"/>
          <w:b/>
          <w:color w:val="1B365D"/>
          <w:sz w:val="20"/>
        </w:rPr>
        <w:t xml:space="preserve">Leave &amp; Holidays: </w:t>
      </w:r>
      <w:r>
        <w:rPr>
          <w:rFonts w:ascii="Calibri" w:hAnsi="Calibri"/>
          <w:color w:val="2C3E50"/>
          <w:sz w:val="20"/>
        </w:rPr>
        <w:t>Casual Leave, Sick Leave, Earned Leave quotas, leave requests, manager approval, and holiday lists.</w:t>
      </w:r>
    </w:p>
    <w:p>
      <w:pPr>
        <w:keepNext/>
        <w:spacing w:before="280" w:after="80"/>
      </w:pPr>
      <w:r>
        <w:rPr>
          <w:rFonts w:ascii="Calibri" w:hAnsi="Calibri"/>
          <w:b/>
          <w:color w:val="2B547E"/>
          <w:sz w:val="25"/>
        </w:rPr>
        <w:t>4.10 Module 10: Enterprise Reporting &amp; Analytics Suite</w:t>
      </w:r>
    </w:p>
    <w:p>
      <w:pPr>
        <w:spacing w:before="0" w:after="80" w:line="276" w:lineRule="auto"/>
      </w:pPr>
      <w:r>
        <w:rPr>
          <w:rFonts w:ascii="Calibri" w:hAnsi="Calibri"/>
          <w:color w:val="2C3E50"/>
          <w:sz w:val="20"/>
        </w:rPr>
        <w:t>Comprehensive reporting engine supporting grid filtering, multi-column sorting, PDF generation, and Excel/CSV data exports.</w:t>
      </w:r>
    </w:p>
    <w:p>
      <w:pPr>
        <w:pStyle w:val="ListBullet"/>
        <w:spacing w:before="0" w:after="50" w:line="276" w:lineRule="auto"/>
      </w:pPr>
      <w:r>
        <w:rPr>
          <w:rFonts w:ascii="Calibri" w:hAnsi="Calibri"/>
          <w:b/>
          <w:color w:val="1B365D"/>
          <w:sz w:val="20"/>
        </w:rPr>
        <w:t xml:space="preserve">Financial Reports: </w:t>
      </w:r>
      <w:r>
        <w:rPr>
          <w:rFonts w:ascii="Calibri" w:hAnsi="Calibri"/>
          <w:color w:val="2C3E50"/>
          <w:sz w:val="20"/>
        </w:rPr>
        <w:t>Trial Balance, Balance Sheet, Profit &amp; Loss Statement, General Ledger, Cash Flow.</w:t>
      </w:r>
    </w:p>
    <w:p>
      <w:pPr>
        <w:pStyle w:val="ListBullet"/>
        <w:spacing w:before="0" w:after="50" w:line="276" w:lineRule="auto"/>
      </w:pPr>
      <w:r>
        <w:rPr>
          <w:rFonts w:ascii="Calibri" w:hAnsi="Calibri"/>
          <w:b/>
          <w:color w:val="1B365D"/>
          <w:sz w:val="20"/>
        </w:rPr>
        <w:t xml:space="preserve">Project Reports: </w:t>
      </w:r>
      <w:r>
        <w:rPr>
          <w:rFonts w:ascii="Calibri" w:hAnsi="Calibri"/>
          <w:color w:val="2C3E50"/>
          <w:sz w:val="20"/>
        </w:rPr>
        <w:t>Project P&amp;L (Budget vs Actual), Project Expense Breakdown, Milestone Billing Status, Closure Audit.</w:t>
      </w:r>
    </w:p>
    <w:p>
      <w:pPr>
        <w:pStyle w:val="ListBullet"/>
        <w:spacing w:before="0" w:after="50" w:line="276" w:lineRule="auto"/>
      </w:pPr>
      <w:r>
        <w:rPr>
          <w:rFonts w:ascii="Calibri" w:hAnsi="Calibri"/>
          <w:b/>
          <w:color w:val="1B365D"/>
          <w:sz w:val="20"/>
        </w:rPr>
        <w:t xml:space="preserve">Sales &amp; Billing Reports: </w:t>
      </w:r>
      <w:r>
        <w:rPr>
          <w:rFonts w:ascii="Calibri" w:hAnsi="Calibri"/>
          <w:color w:val="2C3E50"/>
          <w:sz w:val="20"/>
        </w:rPr>
        <w:t>Sales Register, Client-wise Sales Summary, Invoice Aging (30/60/90+ days), Collection Report.</w:t>
      </w:r>
    </w:p>
    <w:p>
      <w:pPr>
        <w:pStyle w:val="ListBullet"/>
        <w:spacing w:before="0" w:after="50" w:line="276" w:lineRule="auto"/>
      </w:pPr>
      <w:r>
        <w:rPr>
          <w:rFonts w:ascii="Calibri" w:hAnsi="Calibri"/>
          <w:b/>
          <w:color w:val="1B365D"/>
          <w:sz w:val="20"/>
        </w:rPr>
        <w:t xml:space="preserve">Procurement Reports: </w:t>
      </w:r>
      <w:r>
        <w:rPr>
          <w:rFonts w:ascii="Calibri" w:hAnsi="Calibri"/>
          <w:color w:val="2C3E50"/>
          <w:sz w:val="20"/>
        </w:rPr>
        <w:t>Purchase Register, Vendor-wise Procurement Summary, Vendor Payable Aging, PO Fulfillment Status.</w:t>
      </w:r>
    </w:p>
    <w:p>
      <w:pPr>
        <w:pStyle w:val="ListBullet"/>
        <w:spacing w:before="0" w:after="50" w:line="276" w:lineRule="auto"/>
      </w:pPr>
      <w:r>
        <w:rPr>
          <w:rFonts w:ascii="Calibri" w:hAnsi="Calibri"/>
          <w:b/>
          <w:color w:val="1B365D"/>
          <w:sz w:val="20"/>
        </w:rPr>
        <w:t xml:space="preserve">GST Compliance Reports: </w:t>
      </w:r>
      <w:r>
        <w:rPr>
          <w:rFonts w:ascii="Calibri" w:hAnsi="Calibri"/>
          <w:color w:val="2C3E50"/>
          <w:sz w:val="20"/>
        </w:rPr>
        <w:t>GSTR-1 Report, GSTR-3B Summary, Inward ITC Report, GSTR-2B Mismatch Exception Report.</w:t>
      </w:r>
    </w:p>
    <w:p>
      <w:pPr>
        <w:pStyle w:val="ListBullet"/>
        <w:spacing w:before="0" w:after="50" w:line="276" w:lineRule="auto"/>
      </w:pPr>
      <w:r>
        <w:rPr>
          <w:rFonts w:ascii="Calibri" w:hAnsi="Calibri"/>
          <w:b/>
          <w:color w:val="1B365D"/>
          <w:sz w:val="20"/>
        </w:rPr>
        <w:t xml:space="preserve">Office Inventory Reports: </w:t>
      </w:r>
      <w:r>
        <w:rPr>
          <w:rFonts w:ascii="Calibri" w:hAnsi="Calibri"/>
          <w:color w:val="2C3E50"/>
          <w:sz w:val="20"/>
        </w:rPr>
        <w:t>Consumable Stock Register, Stock In/Out Summary, Low Stock Alerts, Department Issue History.</w:t>
      </w:r>
    </w:p>
    <w:p>
      <w:pPr>
        <w:pStyle w:val="ListBullet"/>
        <w:spacing w:before="0" w:after="50" w:line="276" w:lineRule="auto"/>
      </w:pPr>
      <w:r>
        <w:rPr>
          <w:rFonts w:ascii="Calibri" w:hAnsi="Calibri"/>
          <w:b/>
          <w:color w:val="1B365D"/>
          <w:sz w:val="20"/>
        </w:rPr>
        <w:t xml:space="preserve">Audit Reports: </w:t>
      </w:r>
      <w:r>
        <w:rPr>
          <w:rFonts w:ascii="Calibri" w:hAnsi="Calibri"/>
          <w:color w:val="2C3E50"/>
          <w:sz w:val="20"/>
        </w:rPr>
        <w:t>System Audit Trail, User Login History, Approval Logs, Record Modification / Deletion History.</w:t>
      </w:r>
    </w:p>
    <w:p>
      <w:pPr>
        <w:keepNext/>
        <w:spacing w:before="280" w:after="80"/>
      </w:pPr>
      <w:r>
        <w:rPr>
          <w:rFonts w:ascii="Calibri" w:hAnsi="Calibri"/>
          <w:b/>
          <w:color w:val="2B547E"/>
          <w:sz w:val="25"/>
        </w:rPr>
        <w:t>4.11 Module 11: Administration, Security (RBAC), Asset Management &amp; Support</w:t>
      </w:r>
    </w:p>
    <w:p>
      <w:pPr>
        <w:spacing w:before="0" w:after="80" w:line="276" w:lineRule="auto"/>
      </w:pPr>
      <w:r>
        <w:rPr>
          <w:rFonts w:ascii="Calibri" w:hAnsi="Calibri"/>
          <w:color w:val="2C3E50"/>
          <w:sz w:val="20"/>
        </w:rPr>
        <w:t>System administration, enterprise security, hardware asset registry, and internal help desk.</w:t>
      </w:r>
    </w:p>
    <w:p>
      <w:pPr>
        <w:pStyle w:val="ListBullet"/>
        <w:spacing w:before="0" w:after="50" w:line="276" w:lineRule="auto"/>
      </w:pPr>
      <w:r>
        <w:rPr>
          <w:rFonts w:ascii="Calibri" w:hAnsi="Calibri"/>
          <w:b/>
          <w:color w:val="1B365D"/>
          <w:sz w:val="20"/>
        </w:rPr>
        <w:t xml:space="preserve">Fixed Asset Management: </w:t>
      </w:r>
      <w:r>
        <w:rPr>
          <w:rFonts w:ascii="Calibri" w:hAnsi="Calibri"/>
          <w:color w:val="2C3E50"/>
          <w:sz w:val="20"/>
        </w:rPr>
        <w:t>Hardware inventory (laptops, servers, monitors, office fixtures), serial numbers, asset tag generation, custodian assignment, maintenance history, and depreciation.</w:t>
      </w:r>
    </w:p>
    <w:p>
      <w:pPr>
        <w:pStyle w:val="ListBullet"/>
        <w:spacing w:before="0" w:after="50" w:line="276" w:lineRule="auto"/>
      </w:pPr>
      <w:r>
        <w:rPr>
          <w:rFonts w:ascii="Calibri" w:hAnsi="Calibri"/>
          <w:b/>
          <w:color w:val="1B365D"/>
          <w:sz w:val="20"/>
        </w:rPr>
        <w:t xml:space="preserve">User &amp; Role Management: </w:t>
      </w:r>
      <w:r>
        <w:rPr>
          <w:rFonts w:ascii="Calibri" w:hAnsi="Calibri"/>
          <w:color w:val="2C3E50"/>
          <w:sz w:val="20"/>
        </w:rPr>
        <w:t>User authentication, password complexity policies, multi-branch access scopes, and granular permission matrices.</w:t>
      </w:r>
    </w:p>
    <w:p>
      <w:pPr>
        <w:pStyle w:val="ListBullet"/>
        <w:spacing w:before="0" w:after="50" w:line="276" w:lineRule="auto"/>
      </w:pPr>
      <w:r>
        <w:rPr>
          <w:rFonts w:ascii="Calibri" w:hAnsi="Calibri"/>
          <w:b/>
          <w:color w:val="1B365D"/>
          <w:sz w:val="20"/>
        </w:rPr>
        <w:t xml:space="preserve">Support &amp; Help Desk: </w:t>
      </w:r>
      <w:r>
        <w:rPr>
          <w:rFonts w:ascii="Calibri" w:hAnsi="Calibri"/>
          <w:color w:val="2C3E50"/>
          <w:sz w:val="20"/>
        </w:rPr>
        <w:t>Internal ticket logging for IT hardware, ERP bugs, software requests, priority queues, and resolution tracking.</w:t>
      </w:r>
    </w:p>
    <w:p>
      <w:pPr>
        <w:pStyle w:val="ListBullet"/>
        <w:spacing w:before="0" w:after="50" w:line="276" w:lineRule="auto"/>
      </w:pPr>
      <w:r>
        <w:rPr>
          <w:rFonts w:ascii="Calibri" w:hAnsi="Calibri"/>
          <w:b/>
          <w:color w:val="1B365D"/>
          <w:sz w:val="20"/>
        </w:rPr>
        <w:t xml:space="preserve">Master Audit Trail: </w:t>
      </w:r>
      <w:r>
        <w:rPr>
          <w:rFonts w:ascii="Calibri" w:hAnsi="Calibri"/>
          <w:color w:val="2C3E50"/>
          <w:sz w:val="20"/>
        </w:rPr>
        <w:t>System-wide immutable logging of every database change with user ID, timestamp, IP address, old payload, and new payload.</w:t>
      </w:r>
    </w:p>
    <w:p>
      <w:pPr>
        <w:keepNext/>
        <w:spacing w:before="360" w:after="120"/>
      </w:pPr>
      <w:r>
        <w:rPr>
          <w:rFonts w:ascii="Calibri" w:hAnsi="Calibri"/>
          <w:b/>
          <w:color w:val="1B365D"/>
          <w:sz w:val="30"/>
        </w:rPr>
        <w:t>5. Reusable Cross-Cutting Enterprise Engines</w:t>
      </w:r>
    </w:p>
    <w:p>
      <w:pPr>
        <w:keepNext/>
        <w:spacing w:before="280" w:after="80"/>
      </w:pPr>
      <w:r>
        <w:rPr>
          <w:rFonts w:ascii="Calibri" w:hAnsi="Calibri"/>
          <w:b/>
          <w:color w:val="2B547E"/>
          <w:sz w:val="25"/>
        </w:rPr>
        <w:t>5.1 Unified Multi-Level Approval Workflow Engine</w:t>
      </w:r>
    </w:p>
    <w:p>
      <w:pPr>
        <w:spacing w:before="0" w:after="80" w:line="276" w:lineRule="auto"/>
      </w:pPr>
      <w:r>
        <w:rPr>
          <w:rFonts w:ascii="Calibri" w:hAnsi="Calibri"/>
          <w:color w:val="2C3E50"/>
          <w:sz w:val="20"/>
        </w:rPr>
        <w:t>Instead of hard-coded approval logic inside individual screens, SDK ERP implements a centralized, event-driven Approval Engine. Any transactional entity can register for approval rules based on business conditions.</w:t>
      </w:r>
    </w:p>
    <w:p>
      <w:pPr>
        <w:pStyle w:val="ListBullet"/>
        <w:spacing w:before="0" w:after="50" w:line="276" w:lineRule="auto"/>
      </w:pPr>
      <w:r>
        <w:rPr>
          <w:rFonts w:ascii="Calibri" w:hAnsi="Calibri"/>
          <w:b/>
          <w:color w:val="1B365D"/>
          <w:sz w:val="20"/>
        </w:rPr>
        <w:t xml:space="preserve">Approval Trigger 1: </w:t>
      </w:r>
      <w:r>
        <w:rPr>
          <w:rFonts w:ascii="Calibri" w:hAnsi="Calibri"/>
          <w:color w:val="2C3E50"/>
          <w:sz w:val="20"/>
        </w:rPr>
        <w:t>Purchase Orders exceeding threshold (e.g. &gt; ₹50,000 requires Dept Head; &gt; ₹5,00,000 requires Director).</w:t>
      </w:r>
    </w:p>
    <w:p>
      <w:pPr>
        <w:pStyle w:val="ListBullet"/>
        <w:spacing w:before="0" w:after="50" w:line="276" w:lineRule="auto"/>
      </w:pPr>
      <w:r>
        <w:rPr>
          <w:rFonts w:ascii="Calibri" w:hAnsi="Calibri"/>
          <w:b/>
          <w:color w:val="1B365D"/>
          <w:sz w:val="20"/>
        </w:rPr>
        <w:t xml:space="preserve">Approval Trigger 2: </w:t>
      </w:r>
      <w:r>
        <w:rPr>
          <w:rFonts w:ascii="Calibri" w:hAnsi="Calibri"/>
          <w:color w:val="2C3E50"/>
          <w:sz w:val="20"/>
        </w:rPr>
        <w:t>Vendor Disbursements &amp; Direct Payment Vouchers exceeding predefined limits.</w:t>
      </w:r>
    </w:p>
    <w:p>
      <w:pPr>
        <w:pStyle w:val="ListBullet"/>
        <w:spacing w:before="0" w:after="50" w:line="276" w:lineRule="auto"/>
      </w:pPr>
      <w:r>
        <w:rPr>
          <w:rFonts w:ascii="Calibri" w:hAnsi="Calibri"/>
          <w:b/>
          <w:color w:val="1B365D"/>
          <w:sz w:val="20"/>
        </w:rPr>
        <w:t xml:space="preserve">Approval Trigger 3: </w:t>
      </w:r>
      <w:r>
        <w:rPr>
          <w:rFonts w:ascii="Calibri" w:hAnsi="Calibri"/>
          <w:color w:val="2C3E50"/>
          <w:sz w:val="20"/>
        </w:rPr>
        <w:t>Sales Invoices with custom discounts exceeding standard sales policy margins.</w:t>
      </w:r>
    </w:p>
    <w:p>
      <w:pPr>
        <w:pStyle w:val="ListBullet"/>
        <w:spacing w:before="0" w:after="50" w:line="276" w:lineRule="auto"/>
      </w:pPr>
      <w:r>
        <w:rPr>
          <w:rFonts w:ascii="Calibri" w:hAnsi="Calibri"/>
          <w:b/>
          <w:color w:val="1B365D"/>
          <w:sz w:val="20"/>
        </w:rPr>
        <w:t xml:space="preserve">Approval Trigger 4: </w:t>
      </w:r>
      <w:r>
        <w:rPr>
          <w:rFonts w:ascii="Calibri" w:hAnsi="Calibri"/>
          <w:color w:val="2C3E50"/>
          <w:sz w:val="20"/>
        </w:rPr>
        <w:t>Employee Reimbursement claims and Salary Advance applications.</w:t>
      </w:r>
    </w:p>
    <w:p>
      <w:pPr>
        <w:pStyle w:val="ListBullet"/>
        <w:spacing w:before="0" w:after="50" w:line="276" w:lineRule="auto"/>
      </w:pPr>
      <w:r>
        <w:rPr>
          <w:rFonts w:ascii="Calibri" w:hAnsi="Calibri"/>
          <w:b/>
          <w:color w:val="1B365D"/>
          <w:sz w:val="20"/>
        </w:rPr>
        <w:t xml:space="preserve">Approval Trigger 5: </w:t>
      </w:r>
      <w:r>
        <w:rPr>
          <w:rFonts w:ascii="Calibri" w:hAnsi="Calibri"/>
          <w:color w:val="2C3E50"/>
          <w:sz w:val="20"/>
        </w:rPr>
        <w:t>Project Closure requests and Reopening of historically closed projects.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1584"/>
            <w:shd w:fill="1B365D"/>
            <w:tcMar>
              <w:top w:w="120" w:type="dxa"/>
              <w:bottom w:w="120" w:type="dxa"/>
              <w:left w:w="140" w:type="dxa"/>
              <w:right w:w="140" w:type="dxa"/>
            </w:tcMar>
          </w:tcPr>
          <w:p>
            <w:pPr>
              <w:spacing w:before="0" w:after="0"/>
            </w:pPr>
            <w:r>
              <w:rPr>
                <w:rFonts w:ascii="Calibri" w:hAnsi="Calibri"/>
                <w:b/>
                <w:color w:val="FFFFFF"/>
                <w:sz w:val="18"/>
              </w:rPr>
              <w:t>Current State</w:t>
            </w:r>
          </w:p>
        </w:tc>
        <w:tc>
          <w:tcPr>
            <w:tcW w:type="dxa" w:w="1728"/>
            <w:shd w:fill="1B365D"/>
            <w:tcMar>
              <w:top w:w="120" w:type="dxa"/>
              <w:bottom w:w="120" w:type="dxa"/>
              <w:left w:w="140" w:type="dxa"/>
              <w:right w:w="140" w:type="dxa"/>
            </w:tcMar>
          </w:tcPr>
          <w:p>
            <w:pPr>
              <w:spacing w:before="0" w:after="0"/>
            </w:pPr>
            <w:r>
              <w:rPr>
                <w:rFonts w:ascii="Calibri" w:hAnsi="Calibri"/>
                <w:b/>
                <w:color w:val="FFFFFF"/>
                <w:sz w:val="18"/>
              </w:rPr>
              <w:t>Trigger Event</w:t>
            </w:r>
          </w:p>
        </w:tc>
        <w:tc>
          <w:tcPr>
            <w:tcW w:type="dxa" w:w="2016"/>
            <w:shd w:fill="1B365D"/>
            <w:tcMar>
              <w:top w:w="120" w:type="dxa"/>
              <w:bottom w:w="120" w:type="dxa"/>
              <w:left w:w="140" w:type="dxa"/>
              <w:right w:w="140" w:type="dxa"/>
            </w:tcMar>
          </w:tcPr>
          <w:p>
            <w:pPr>
              <w:spacing w:before="0" w:after="0"/>
            </w:pPr>
            <w:r>
              <w:rPr>
                <w:rFonts w:ascii="Calibri" w:hAnsi="Calibri"/>
                <w:b/>
                <w:color w:val="FFFFFF"/>
                <w:sz w:val="18"/>
              </w:rPr>
              <w:t>Condition / Actor</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Next State</w:t>
            </w:r>
          </w:p>
        </w:tc>
        <w:tc>
          <w:tcPr>
            <w:tcW w:type="dxa" w:w="2880"/>
            <w:shd w:fill="1B365D"/>
            <w:tcMar>
              <w:top w:w="120" w:type="dxa"/>
              <w:bottom w:w="120" w:type="dxa"/>
              <w:left w:w="140" w:type="dxa"/>
              <w:right w:w="140" w:type="dxa"/>
            </w:tcMar>
          </w:tcPr>
          <w:p>
            <w:pPr>
              <w:spacing w:before="0" w:after="0"/>
            </w:pPr>
            <w:r>
              <w:rPr>
                <w:rFonts w:ascii="Calibri" w:hAnsi="Calibri"/>
                <w:b/>
                <w:color w:val="FFFFFF"/>
                <w:sz w:val="18"/>
              </w:rPr>
              <w:t>System Actions</w:t>
            </w:r>
          </w:p>
        </w:tc>
      </w:tr>
      <w:tr>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Draft</w:t>
            </w:r>
          </w:p>
        </w:tc>
        <w:tc>
          <w:tcPr>
            <w:tcW w:type="dxa" w:w="1728"/>
            <w:shd w:fill="FFFFFF"/>
            <w:tcMar>
              <w:top w:w="80" w:type="dxa"/>
              <w:bottom w:w="80" w:type="dxa"/>
              <w:left w:w="120" w:type="dxa"/>
              <w:right w:w="120" w:type="dxa"/>
            </w:tcMar>
          </w:tcPr>
          <w:p>
            <w:pPr>
              <w:spacing w:before="0" w:after="40" w:line="276" w:lineRule="auto"/>
            </w:pPr>
            <w:r>
              <w:rPr>
                <w:rFonts w:ascii="Calibri" w:hAnsi="Calibri"/>
                <w:color w:val="2C3E50"/>
                <w:sz w:val="17"/>
              </w:rPr>
              <w:t>Submit for Approval</w:t>
            </w:r>
          </w:p>
        </w:tc>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Initiator clicks submit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Pending Approval</w:t>
            </w:r>
          </w:p>
        </w:tc>
        <w:tc>
          <w:tcPr>
            <w:tcW w:type="dxa" w:w="2880"/>
            <w:shd w:fill="FFFFFF"/>
            <w:tcMar>
              <w:top w:w="80" w:type="dxa"/>
              <w:bottom w:w="80" w:type="dxa"/>
              <w:left w:w="120" w:type="dxa"/>
              <w:right w:w="120" w:type="dxa"/>
            </w:tcMar>
          </w:tcPr>
          <w:p>
            <w:pPr>
              <w:spacing w:before="0" w:after="40" w:line="276" w:lineRule="auto"/>
            </w:pPr>
            <w:r>
              <w:rPr>
                <w:rFonts w:ascii="Calibri" w:hAnsi="Calibri"/>
                <w:color w:val="2C3E50"/>
                <w:sz w:val="17"/>
              </w:rPr>
              <w:t>Lock record; dispatch notification to assigned Approver.</w:t>
            </w:r>
          </w:p>
        </w:tc>
      </w:tr>
      <w:tr>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Pending Approval</w:t>
            </w:r>
          </w:p>
        </w:tc>
        <w:tc>
          <w:tcPr>
            <w:tcW w:type="dxa" w:w="1728"/>
            <w:shd w:fill="F8FAFC"/>
            <w:tcMar>
              <w:top w:w="80" w:type="dxa"/>
              <w:bottom w:w="80" w:type="dxa"/>
              <w:left w:w="120" w:type="dxa"/>
              <w:right w:w="120" w:type="dxa"/>
            </w:tcMar>
          </w:tcPr>
          <w:p>
            <w:pPr>
              <w:spacing w:before="0" w:after="40" w:line="276" w:lineRule="auto"/>
            </w:pPr>
            <w:r>
              <w:rPr>
                <w:rFonts w:ascii="Calibri" w:hAnsi="Calibri"/>
                <w:color w:val="2C3E50"/>
                <w:sz w:val="17"/>
              </w:rPr>
              <w:t>Approve</w:t>
            </w:r>
          </w:p>
        </w:tc>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Authorized Approver approves</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Approved</w:t>
            </w:r>
          </w:p>
        </w:tc>
        <w:tc>
          <w:tcPr>
            <w:tcW w:type="dxa" w:w="2880"/>
            <w:shd w:fill="F8FAFC"/>
            <w:tcMar>
              <w:top w:w="80" w:type="dxa"/>
              <w:bottom w:w="80" w:type="dxa"/>
              <w:left w:w="120" w:type="dxa"/>
              <w:right w:w="120" w:type="dxa"/>
            </w:tcMar>
          </w:tcPr>
          <w:p>
            <w:pPr>
              <w:spacing w:before="0" w:after="40" w:line="276" w:lineRule="auto"/>
            </w:pPr>
            <w:r>
              <w:rPr>
                <w:rFonts w:ascii="Calibri" w:hAnsi="Calibri"/>
                <w:color w:val="2C3E50"/>
                <w:sz w:val="17"/>
              </w:rPr>
              <w:t>Unlock for posting; generate GL vouchers / PO dispatch.</w:t>
            </w:r>
          </w:p>
        </w:tc>
      </w:tr>
      <w:tr>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Pending Approval</w:t>
            </w:r>
          </w:p>
        </w:tc>
        <w:tc>
          <w:tcPr>
            <w:tcW w:type="dxa" w:w="1728"/>
            <w:shd w:fill="FFFFFF"/>
            <w:tcMar>
              <w:top w:w="80" w:type="dxa"/>
              <w:bottom w:w="80" w:type="dxa"/>
              <w:left w:w="120" w:type="dxa"/>
              <w:right w:w="120" w:type="dxa"/>
            </w:tcMar>
          </w:tcPr>
          <w:p>
            <w:pPr>
              <w:spacing w:before="0" w:after="40" w:line="276" w:lineRule="auto"/>
            </w:pPr>
            <w:r>
              <w:rPr>
                <w:rFonts w:ascii="Calibri" w:hAnsi="Calibri"/>
                <w:color w:val="2C3E50"/>
                <w:sz w:val="17"/>
              </w:rPr>
              <w:t>Reject</w:t>
            </w:r>
          </w:p>
        </w:tc>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Approver rejects with reason</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Rejected</w:t>
            </w:r>
          </w:p>
        </w:tc>
        <w:tc>
          <w:tcPr>
            <w:tcW w:type="dxa" w:w="2880"/>
            <w:shd w:fill="FFFFFF"/>
            <w:tcMar>
              <w:top w:w="80" w:type="dxa"/>
              <w:bottom w:w="80" w:type="dxa"/>
              <w:left w:w="120" w:type="dxa"/>
              <w:right w:w="120" w:type="dxa"/>
            </w:tcMar>
          </w:tcPr>
          <w:p>
            <w:pPr>
              <w:spacing w:before="0" w:after="40" w:line="276" w:lineRule="auto"/>
            </w:pPr>
            <w:r>
              <w:rPr>
                <w:rFonts w:ascii="Calibri" w:hAnsi="Calibri"/>
                <w:color w:val="2C3E50"/>
                <w:sz w:val="17"/>
              </w:rPr>
              <w:t>Unlock for editing; notify Initiator with rejection comments.</w:t>
            </w:r>
          </w:p>
        </w:tc>
      </w:tr>
      <w:tr>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Approved</w:t>
            </w:r>
          </w:p>
        </w:tc>
        <w:tc>
          <w:tcPr>
            <w:tcW w:type="dxa" w:w="1728"/>
            <w:shd w:fill="F8FAFC"/>
            <w:tcMar>
              <w:top w:w="80" w:type="dxa"/>
              <w:bottom w:w="80" w:type="dxa"/>
              <w:left w:w="120" w:type="dxa"/>
              <w:right w:w="120" w:type="dxa"/>
            </w:tcMar>
          </w:tcPr>
          <w:p>
            <w:pPr>
              <w:spacing w:before="0" w:after="40" w:line="276" w:lineRule="auto"/>
            </w:pPr>
            <w:r>
              <w:rPr>
                <w:rFonts w:ascii="Calibri" w:hAnsi="Calibri"/>
                <w:color w:val="2C3E50"/>
                <w:sz w:val="17"/>
              </w:rPr>
              <w:t>Cancel / Revoke</w:t>
            </w:r>
          </w:p>
        </w:tc>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Super Admin with reason</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Cancelled</w:t>
            </w:r>
          </w:p>
        </w:tc>
        <w:tc>
          <w:tcPr>
            <w:tcW w:type="dxa" w:w="2880"/>
            <w:shd w:fill="F8FAFC"/>
            <w:tcMar>
              <w:top w:w="80" w:type="dxa"/>
              <w:bottom w:w="80" w:type="dxa"/>
              <w:left w:w="120" w:type="dxa"/>
              <w:right w:w="120" w:type="dxa"/>
            </w:tcMar>
          </w:tcPr>
          <w:p>
            <w:pPr>
              <w:spacing w:before="0" w:after="40" w:line="276" w:lineRule="auto"/>
            </w:pPr>
            <w:r>
              <w:rPr>
                <w:rFonts w:ascii="Calibri" w:hAnsi="Calibri"/>
                <w:color w:val="2C3E50"/>
                <w:sz w:val="17"/>
              </w:rPr>
              <w:t>Execute compensating reversal voucher; log in audit trail.</w:t>
            </w:r>
          </w:p>
        </w:tc>
      </w:tr>
    </w:tbl>
    <w:p>
      <w:pPr>
        <w:spacing w:before="0" w:after="120"/>
      </w:pPr>
    </w:p>
    <w:p>
      <w:pPr>
        <w:keepNext/>
        <w:spacing w:before="280" w:after="80"/>
      </w:pPr>
      <w:r>
        <w:rPr>
          <w:rFonts w:ascii="Calibri" w:hAnsi="Calibri"/>
          <w:b/>
          <w:color w:val="2B547E"/>
          <w:sz w:val="25"/>
        </w:rPr>
        <w:t>5.2 Centralized Document &amp; Attachment Engine</w:t>
      </w:r>
    </w:p>
    <w:p>
      <w:pPr>
        <w:spacing w:before="0" w:after="80" w:line="276" w:lineRule="auto"/>
      </w:pPr>
      <w:r>
        <w:rPr>
          <w:rFonts w:ascii="Calibri" w:hAnsi="Calibri"/>
          <w:color w:val="2C3E50"/>
          <w:sz w:val="20"/>
        </w:rPr>
        <w:t>Centralized storage for all supporting files (Client POs, Vendor Invoices, GRN delivery slips, Cheque copies, Expense receipts, Contracts). Files are securely stored with SHA-256 integrity hashes, MIME type validation, versioning, and linked polymorphic entity keys (`entity_type` + `entity_id`).</w:t>
      </w:r>
    </w:p>
    <w:p>
      <w:pPr>
        <w:keepNext/>
        <w:spacing w:before="280" w:after="80"/>
      </w:pPr>
      <w:r>
        <w:rPr>
          <w:rFonts w:ascii="Calibri" w:hAnsi="Calibri"/>
          <w:b/>
          <w:color w:val="2B547E"/>
          <w:sz w:val="25"/>
        </w:rPr>
        <w:t>5.3 Multi-Level Role-Based Access Control (RBAC) Matrix</w:t>
      </w:r>
    </w:p>
    <w:p>
      <w:pPr>
        <w:spacing w:before="0" w:after="80" w:line="276" w:lineRule="auto"/>
      </w:pPr>
      <w:r>
        <w:rPr>
          <w:rFonts w:ascii="Calibri" w:hAnsi="Calibri"/>
          <w:color w:val="2C3E50"/>
          <w:sz w:val="20"/>
        </w:rPr>
        <w:t>Permissions in SDK ERP are evaluated per Module -&gt; Submodule -&gt; Action. Every API request must authenticate user token and verify permission grants.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419"/>
        <w:gridCol w:w="1419"/>
        <w:gridCol w:w="1419"/>
        <w:gridCol w:w="1419"/>
        <w:gridCol w:w="1419"/>
        <w:gridCol w:w="1419"/>
        <w:gridCol w:w="1419"/>
      </w:tblGrid>
      <w:tr>
        <w:tc>
          <w:tcPr>
            <w:tcW w:type="dxa" w:w="2016"/>
            <w:shd w:fill="1B365D"/>
            <w:tcMar>
              <w:top w:w="120" w:type="dxa"/>
              <w:bottom w:w="120" w:type="dxa"/>
              <w:left w:w="140" w:type="dxa"/>
              <w:right w:w="140" w:type="dxa"/>
            </w:tcMar>
          </w:tcPr>
          <w:p>
            <w:pPr>
              <w:spacing w:before="0" w:after="0"/>
            </w:pPr>
            <w:r>
              <w:rPr>
                <w:rFonts w:ascii="Calibri" w:hAnsi="Calibri"/>
                <w:b/>
                <w:color w:val="FFFFFF"/>
                <w:sz w:val="18"/>
              </w:rPr>
              <w:t>Module Code</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Admin / Director</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Project Manager</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Sales Exec</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Accountant / Finance</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Procurement Officer</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Store Keeper</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Dashboard</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Full Access</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Project View</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Sales View</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Financial View</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Procurement View</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Inventory View</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Masters &amp; Config</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Full Access</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Read-Only</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Read-Only</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Account Masters</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Vendor Masters</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Item Masters</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Projects</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Full Access</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Create / Edit / Deliver</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View / Milestone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Cost / P&amp;L View</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Procurement Link</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Delivery View</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Sales &amp; Billing</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Full Access</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View / Proforma</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Create / Quote / SO</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Invoice / Post / Credit</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 Access</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Delivery Challan</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Procurement &amp; Stock</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Full Access</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Raise PR / View</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 Access</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Bill Verification</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Create PO / Vendor</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GRN / Stock In/Out</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Accounts &amp; Payments</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Full Access</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Expense Claim</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 Access</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Full GL / Vouchers / Pay</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View PO Bills</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 Access</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GST &amp; Tax</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Full Access</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 Access</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 Access</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Full Filing &amp; Reco</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 Access</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 Access</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Cash &amp; Bank</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Full Access</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 Access</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 Access</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Full Reconciliation</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 Access</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 Access</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Payroll &amp; HR</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Full Access</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Dept Leaves</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Own Leaves</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Salary Processing</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Own Leaves</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Own Leaves</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Reports &amp; Analytics</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Full Access</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Project Reports</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Sales Reports</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Financial &amp; GST</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Purchase Reports</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Stock Reports</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Admin &amp; Assets</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Full Access</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Asset View</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Asset View</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Asset Value / Depr</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Asset Purchase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Asset Issue</w:t>
            </w:r>
          </w:p>
        </w:tc>
      </w:tr>
    </w:tbl>
    <w:p>
      <w:pPr>
        <w:spacing w:before="0" w:after="120"/>
      </w:pPr>
    </w:p>
    <w:p>
      <w:pPr>
        <w:keepNext/>
        <w:spacing w:before="360" w:after="120"/>
      </w:pPr>
      <w:r>
        <w:rPr>
          <w:rFonts w:ascii="Calibri" w:hAnsi="Calibri"/>
          <w:b/>
          <w:color w:val="1B365D"/>
          <w:sz w:val="30"/>
        </w:rPr>
        <w:t>6. Double-Entry Financial Accounting Posting Matrix</w:t>
      </w:r>
    </w:p>
    <w:p>
      <w:pPr>
        <w:spacing w:before="0" w:after="80" w:line="276" w:lineRule="auto"/>
      </w:pPr>
      <w:r>
        <w:rPr>
          <w:rFonts w:ascii="Calibri" w:hAnsi="Calibri"/>
          <w:color w:val="2C3E50"/>
          <w:sz w:val="20"/>
        </w:rPr>
        <w:t>To maintain mathematical balance and GAAP/Indian Accounting Standard compliance, SDK ERP enforces an automated Journal Voucher (JV) posting engine. When business transactions are posted, balanced debit and credit entries are instantly committed in the General Ledger.</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656"/>
        <w:gridCol w:w="1656"/>
        <w:gridCol w:w="1656"/>
        <w:gridCol w:w="1656"/>
        <w:gridCol w:w="1656"/>
        <w:gridCol w:w="1656"/>
      </w:tblGrid>
      <w:tr>
        <w:tc>
          <w:tcPr>
            <w:tcW w:type="dxa" w:w="1872"/>
            <w:shd w:fill="1B365D"/>
            <w:tcMar>
              <w:top w:w="120" w:type="dxa"/>
              <w:bottom w:w="120" w:type="dxa"/>
              <w:left w:w="140" w:type="dxa"/>
              <w:right w:w="140" w:type="dxa"/>
            </w:tcMar>
          </w:tcPr>
          <w:p>
            <w:pPr>
              <w:spacing w:before="0" w:after="0"/>
            </w:pPr>
            <w:r>
              <w:rPr>
                <w:rFonts w:ascii="Calibri" w:hAnsi="Calibri"/>
                <w:b/>
                <w:color w:val="FFFFFF"/>
                <w:sz w:val="18"/>
              </w:rPr>
              <w:t>Transaction Type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Trigger Event</w:t>
            </w:r>
          </w:p>
        </w:tc>
        <w:tc>
          <w:tcPr>
            <w:tcW w:type="dxa" w:w="2016"/>
            <w:shd w:fill="1B365D"/>
            <w:tcMar>
              <w:top w:w="120" w:type="dxa"/>
              <w:bottom w:w="120" w:type="dxa"/>
              <w:left w:w="140" w:type="dxa"/>
              <w:right w:w="140" w:type="dxa"/>
            </w:tcMar>
          </w:tcPr>
          <w:p>
            <w:pPr>
              <w:spacing w:before="0" w:after="0"/>
            </w:pPr>
            <w:r>
              <w:rPr>
                <w:rFonts w:ascii="Calibri" w:hAnsi="Calibri"/>
                <w:b/>
                <w:color w:val="FFFFFF"/>
                <w:sz w:val="18"/>
              </w:rPr>
              <w:t>Debit Ledger Account</w:t>
            </w:r>
          </w:p>
        </w:tc>
        <w:tc>
          <w:tcPr>
            <w:tcW w:type="dxa" w:w="2016"/>
            <w:shd w:fill="1B365D"/>
            <w:tcMar>
              <w:top w:w="120" w:type="dxa"/>
              <w:bottom w:w="120" w:type="dxa"/>
              <w:left w:w="140" w:type="dxa"/>
              <w:right w:w="140" w:type="dxa"/>
            </w:tcMar>
          </w:tcPr>
          <w:p>
            <w:pPr>
              <w:spacing w:before="0" w:after="0"/>
            </w:pPr>
            <w:r>
              <w:rPr>
                <w:rFonts w:ascii="Calibri" w:hAnsi="Calibri"/>
                <w:b/>
                <w:color w:val="FFFFFF"/>
                <w:sz w:val="18"/>
              </w:rPr>
              <w:t>Credit Ledger Account</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GST / Tax Impact</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Reversal Rule</w:t>
            </w:r>
          </w:p>
        </w:tc>
      </w:tr>
      <w:tr>
        <w:tc>
          <w:tcPr>
            <w:tcW w:type="dxa" w:w="1872"/>
            <w:shd w:fill="FFFFFF"/>
            <w:tcMar>
              <w:top w:w="80" w:type="dxa"/>
              <w:bottom w:w="80" w:type="dxa"/>
              <w:left w:w="120" w:type="dxa"/>
              <w:right w:w="120" w:type="dxa"/>
            </w:tcMar>
          </w:tcPr>
          <w:p>
            <w:pPr>
              <w:spacing w:before="0" w:after="40" w:line="276" w:lineRule="auto"/>
            </w:pPr>
            <w:r>
              <w:rPr>
                <w:rFonts w:ascii="Calibri" w:hAnsi="Calibri"/>
                <w:color w:val="2C3E50"/>
                <w:sz w:val="17"/>
              </w:rPr>
              <w:t>Sales Tax Invoice (Intra-State)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Invoice Approved &amp; Sent</w:t>
            </w:r>
          </w:p>
        </w:tc>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Client Sub-Ledger (Accounts Receivable)</w:t>
            </w:r>
          </w:p>
        </w:tc>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1. Sales Revenue A/c</w:t>
              <w:br/>
              <w:t>2. Output CGST Payable</w:t>
              <w:br/>
              <w:t>3. Output SGST Payable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Increases Output CGST/SGST liability (GSTR-1)</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Credit Note only; no hard delete.</w:t>
            </w:r>
          </w:p>
        </w:tc>
      </w:tr>
      <w:tr>
        <w:tc>
          <w:tcPr>
            <w:tcW w:type="dxa" w:w="1872"/>
            <w:shd w:fill="F8FAFC"/>
            <w:tcMar>
              <w:top w:w="80" w:type="dxa"/>
              <w:bottom w:w="80" w:type="dxa"/>
              <w:left w:w="120" w:type="dxa"/>
              <w:right w:w="120" w:type="dxa"/>
            </w:tcMar>
          </w:tcPr>
          <w:p>
            <w:pPr>
              <w:spacing w:before="0" w:after="40" w:line="276" w:lineRule="auto"/>
            </w:pPr>
            <w:r>
              <w:rPr>
                <w:rFonts w:ascii="Calibri" w:hAnsi="Calibri"/>
                <w:color w:val="2C3E50"/>
                <w:sz w:val="17"/>
              </w:rPr>
              <w:t>Sales Tax Invoice (Inter-State)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Invoice Approved &amp; Sent</w:t>
            </w:r>
          </w:p>
        </w:tc>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Client Sub-Ledger (Accounts Receivable)</w:t>
            </w:r>
          </w:p>
        </w:tc>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1. Sales Revenue A/c</w:t>
              <w:br/>
              <w:t>2. Output IGST Payable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Increases Output IGST liability (GSTR-1)</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Credit Note only; no hard delete.</w:t>
            </w:r>
          </w:p>
        </w:tc>
      </w:tr>
      <w:tr>
        <w:tc>
          <w:tcPr>
            <w:tcW w:type="dxa" w:w="1872"/>
            <w:shd w:fill="FFFFFF"/>
            <w:tcMar>
              <w:top w:w="80" w:type="dxa"/>
              <w:bottom w:w="80" w:type="dxa"/>
              <w:left w:w="120" w:type="dxa"/>
              <w:right w:w="120" w:type="dxa"/>
            </w:tcMar>
          </w:tcPr>
          <w:p>
            <w:pPr>
              <w:spacing w:before="0" w:after="40" w:line="276" w:lineRule="auto"/>
            </w:pPr>
            <w:r>
              <w:rPr>
                <w:rFonts w:ascii="Calibri" w:hAnsi="Calibri"/>
                <w:color w:val="2C3E50"/>
                <w:sz w:val="17"/>
              </w:rPr>
              <w:t>Customer Payment Receipt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Receipt recorded &amp; allocated</w:t>
            </w:r>
          </w:p>
        </w:tc>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Bank Account / Cash Book</w:t>
            </w:r>
          </w:p>
        </w:tc>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Client Sub-Ledger (Accounts Receivable)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None (Tax recognized at Invoicing)</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Cancel Receipt with reversal JV.</w:t>
            </w:r>
          </w:p>
        </w:tc>
      </w:tr>
      <w:tr>
        <w:tc>
          <w:tcPr>
            <w:tcW w:type="dxa" w:w="1872"/>
            <w:shd w:fill="F8FAFC"/>
            <w:tcMar>
              <w:top w:w="80" w:type="dxa"/>
              <w:bottom w:w="80" w:type="dxa"/>
              <w:left w:w="120" w:type="dxa"/>
              <w:right w:w="120" w:type="dxa"/>
            </w:tcMar>
          </w:tcPr>
          <w:p>
            <w:pPr>
              <w:spacing w:before="0" w:after="40" w:line="276" w:lineRule="auto"/>
            </w:pPr>
            <w:r>
              <w:rPr>
                <w:rFonts w:ascii="Calibri" w:hAnsi="Calibri"/>
                <w:color w:val="2C3E50"/>
                <w:sz w:val="17"/>
              </w:rPr>
              <w:t>Purchase Bill (Intra-State)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Vendor Bill Approved</w:t>
            </w:r>
          </w:p>
        </w:tc>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1. Expense / Purchases A/c</w:t>
              <w:br/>
              <w:t>2. Input CGST (ITC)</w:t>
              <w:br/>
              <w:t>3. Input SGST (ITC)</w:t>
            </w:r>
          </w:p>
        </w:tc>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Vendor Sub-Ledger (Accounts Payable)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Increases eligible Inward ITC (GSTR-2B)</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Debit Note only; no hard delete.</w:t>
            </w:r>
          </w:p>
        </w:tc>
      </w:tr>
      <w:tr>
        <w:tc>
          <w:tcPr>
            <w:tcW w:type="dxa" w:w="1872"/>
            <w:shd w:fill="FFFFFF"/>
            <w:tcMar>
              <w:top w:w="80" w:type="dxa"/>
              <w:bottom w:w="80" w:type="dxa"/>
              <w:left w:w="120" w:type="dxa"/>
              <w:right w:w="120" w:type="dxa"/>
            </w:tcMar>
          </w:tcPr>
          <w:p>
            <w:pPr>
              <w:spacing w:before="0" w:after="40" w:line="276" w:lineRule="auto"/>
            </w:pPr>
            <w:r>
              <w:rPr>
                <w:rFonts w:ascii="Calibri" w:hAnsi="Calibri"/>
                <w:color w:val="2C3E50"/>
                <w:sz w:val="17"/>
              </w:rPr>
              <w:t>Purchase Bill (Inter-State)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Vendor Bill Approved</w:t>
            </w:r>
          </w:p>
        </w:tc>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1. Expense / Purchases A/c</w:t>
              <w:br/>
              <w:t>2. Input IGST (ITC)</w:t>
            </w:r>
          </w:p>
        </w:tc>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Vendor Sub-Ledger (Accounts Payable)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Increases eligible Inward ITC (GSTR-2B)</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Debit Note only; no hard delete.</w:t>
            </w:r>
          </w:p>
        </w:tc>
      </w:tr>
      <w:tr>
        <w:tc>
          <w:tcPr>
            <w:tcW w:type="dxa" w:w="1872"/>
            <w:shd w:fill="F8FAFC"/>
            <w:tcMar>
              <w:top w:w="80" w:type="dxa"/>
              <w:bottom w:w="80" w:type="dxa"/>
              <w:left w:w="120" w:type="dxa"/>
              <w:right w:w="120" w:type="dxa"/>
            </w:tcMar>
          </w:tcPr>
          <w:p>
            <w:pPr>
              <w:spacing w:before="0" w:after="40" w:line="276" w:lineRule="auto"/>
            </w:pPr>
            <w:r>
              <w:rPr>
                <w:rFonts w:ascii="Calibri" w:hAnsi="Calibri"/>
                <w:color w:val="2C3E50"/>
                <w:sz w:val="17"/>
              </w:rPr>
              <w:t>Purchase Bill (RCM)</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Reverse Charge Bill Approved</w:t>
            </w:r>
          </w:p>
        </w:tc>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1. Expense / Purchases A/c</w:t>
              <w:br/>
              <w:t>2. Input GST (RCM)</w:t>
            </w:r>
          </w:p>
        </w:tc>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1. Vendor Payable</w:t>
              <w:br/>
              <w:t>2. Output GST (RCM Payable)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Simultaneous RCM Output liability &amp; Inward ITC</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Debit Note with RCM reversal.</w:t>
            </w:r>
          </w:p>
        </w:tc>
      </w:tr>
      <w:tr>
        <w:tc>
          <w:tcPr>
            <w:tcW w:type="dxa" w:w="1872"/>
            <w:shd w:fill="FFFFFF"/>
            <w:tcMar>
              <w:top w:w="80" w:type="dxa"/>
              <w:bottom w:w="80" w:type="dxa"/>
              <w:left w:w="120" w:type="dxa"/>
              <w:right w:w="120" w:type="dxa"/>
            </w:tcMar>
          </w:tcPr>
          <w:p>
            <w:pPr>
              <w:spacing w:before="0" w:after="40" w:line="276" w:lineRule="auto"/>
            </w:pPr>
            <w:r>
              <w:rPr>
                <w:rFonts w:ascii="Calibri" w:hAnsi="Calibri"/>
                <w:color w:val="2C3E50"/>
                <w:sz w:val="17"/>
              </w:rPr>
              <w:t>Vendor Payment Disbursement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Payment Voucher processed</w:t>
            </w:r>
          </w:p>
        </w:tc>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Vendor Sub-Ledger (Accounts Payable)</w:t>
            </w:r>
          </w:p>
        </w:tc>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Bank Account / Cheque A/c</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Voucher cancellation with reversal JV.</w:t>
            </w:r>
          </w:p>
        </w:tc>
      </w:tr>
      <w:tr>
        <w:tc>
          <w:tcPr>
            <w:tcW w:type="dxa" w:w="1872"/>
            <w:shd w:fill="F8FAFC"/>
            <w:tcMar>
              <w:top w:w="80" w:type="dxa"/>
              <w:bottom w:w="80" w:type="dxa"/>
              <w:left w:w="120" w:type="dxa"/>
              <w:right w:w="120" w:type="dxa"/>
            </w:tcMar>
          </w:tcPr>
          <w:p>
            <w:pPr>
              <w:spacing w:before="0" w:after="40" w:line="276" w:lineRule="auto"/>
            </w:pPr>
            <w:r>
              <w:rPr>
                <w:rFonts w:ascii="Calibri" w:hAnsi="Calibri"/>
                <w:color w:val="2C3E50"/>
                <w:sz w:val="17"/>
              </w:rPr>
              <w:t>Office Stock Consumption</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Internal Stock Out approved</w:t>
            </w:r>
          </w:p>
        </w:tc>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Office Consumables Expense A/c</w:t>
            </w:r>
          </w:p>
        </w:tc>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Office Inventory Asset A/c</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None (ITC claimed at purchase)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Inventory adjustment voucher.</w:t>
            </w:r>
          </w:p>
        </w:tc>
      </w:tr>
      <w:tr>
        <w:tc>
          <w:tcPr>
            <w:tcW w:type="dxa" w:w="1872"/>
            <w:shd w:fill="FFFFFF"/>
            <w:tcMar>
              <w:top w:w="80" w:type="dxa"/>
              <w:bottom w:w="80" w:type="dxa"/>
              <w:left w:w="120" w:type="dxa"/>
              <w:right w:w="120" w:type="dxa"/>
            </w:tcMar>
          </w:tcPr>
          <w:p>
            <w:pPr>
              <w:spacing w:before="0" w:after="40" w:line="276" w:lineRule="auto"/>
            </w:pPr>
            <w:r>
              <w:rPr>
                <w:rFonts w:ascii="Calibri" w:hAnsi="Calibri"/>
                <w:color w:val="2C3E50"/>
                <w:sz w:val="17"/>
              </w:rPr>
              <w:t>Direct Project Expense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Expense claim approved</w:t>
            </w:r>
          </w:p>
        </w:tc>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Project Direct Expense A/c (Project Tagged)</w:t>
            </w:r>
          </w:p>
        </w:tc>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1. Bank / Cash A/c</w:t>
              <w:br/>
              <w:t>(or Employee Payable)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Input GST if Tax Invoice attached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Expense reversal with approval.</w:t>
            </w:r>
          </w:p>
        </w:tc>
      </w:tr>
      <w:tr>
        <w:tc>
          <w:tcPr>
            <w:tcW w:type="dxa" w:w="1872"/>
            <w:shd w:fill="F8FAFC"/>
            <w:tcMar>
              <w:top w:w="80" w:type="dxa"/>
              <w:bottom w:w="80" w:type="dxa"/>
              <w:left w:w="120" w:type="dxa"/>
              <w:right w:w="120" w:type="dxa"/>
            </w:tcMar>
          </w:tcPr>
          <w:p>
            <w:pPr>
              <w:spacing w:before="0" w:after="40" w:line="276" w:lineRule="auto"/>
            </w:pPr>
            <w:r>
              <w:rPr>
                <w:rFonts w:ascii="Calibri" w:hAnsi="Calibri"/>
                <w:color w:val="2C3E50"/>
                <w:sz w:val="17"/>
              </w:rPr>
              <w:t>Monthly Payroll Processing</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Salary Sheet finalized</w:t>
            </w:r>
          </w:p>
        </w:tc>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Salaries &amp; Wages Expense A/c</w:t>
            </w:r>
          </w:p>
        </w:tc>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1. Net Salaries Payable</w:t>
              <w:br/>
              <w:t>2. PF Payable</w:t>
              <w:br/>
              <w:t>3. PT Payable</w:t>
              <w:br/>
              <w:t>4. TDS Payable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Payroll rollback before payout.</w:t>
            </w:r>
          </w:p>
        </w:tc>
      </w:tr>
      <w:tr>
        <w:tc>
          <w:tcPr>
            <w:tcW w:type="dxa" w:w="1872"/>
            <w:shd w:fill="FFFFFF"/>
            <w:tcMar>
              <w:top w:w="80" w:type="dxa"/>
              <w:bottom w:w="80" w:type="dxa"/>
              <w:left w:w="120" w:type="dxa"/>
              <w:right w:w="120" w:type="dxa"/>
            </w:tcMar>
          </w:tcPr>
          <w:p>
            <w:pPr>
              <w:spacing w:before="0" w:after="40" w:line="276" w:lineRule="auto"/>
            </w:pPr>
            <w:r>
              <w:rPr>
                <w:rFonts w:ascii="Calibri" w:hAnsi="Calibri"/>
                <w:color w:val="2C3E50"/>
                <w:sz w:val="17"/>
              </w:rPr>
              <w:t>Salary Payout Disbursement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Bank disbursement executed</w:t>
            </w:r>
          </w:p>
        </w:tc>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Net Salaries Payable A/c</w:t>
            </w:r>
          </w:p>
        </w:tc>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Bank Disbursement Account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Bank adjustment entry.</w:t>
            </w:r>
          </w:p>
        </w:tc>
      </w:tr>
      <w:tr>
        <w:tc>
          <w:tcPr>
            <w:tcW w:type="dxa" w:w="1872"/>
            <w:shd w:fill="F8FAFC"/>
            <w:tcMar>
              <w:top w:w="80" w:type="dxa"/>
              <w:bottom w:w="80" w:type="dxa"/>
              <w:left w:w="120" w:type="dxa"/>
              <w:right w:w="120" w:type="dxa"/>
            </w:tcMar>
          </w:tcPr>
          <w:p>
            <w:pPr>
              <w:spacing w:before="0" w:after="40" w:line="276" w:lineRule="auto"/>
            </w:pPr>
            <w:r>
              <w:rPr>
                <w:rFonts w:ascii="Calibri" w:hAnsi="Calibri"/>
                <w:color w:val="2C3E50"/>
                <w:sz w:val="17"/>
              </w:rPr>
              <w:t>Fixed Asset Purchase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Asset Bill Approved</w:t>
            </w:r>
          </w:p>
        </w:tc>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1. Fixed Asset A/c (e.g. Laptops)</w:t>
              <w:br/>
              <w:t>2. Capital Goods ITC</w:t>
            </w:r>
          </w:p>
        </w:tc>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Vendor Sub-Ledger (Accounts Payable)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Capital Goods ITC (GSTR-2B)</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Debit Note or Asset disposal JV.</w:t>
            </w:r>
          </w:p>
        </w:tc>
      </w:tr>
      <w:tr>
        <w:tc>
          <w:tcPr>
            <w:tcW w:type="dxa" w:w="1872"/>
            <w:shd w:fill="FFFFFF"/>
            <w:tcMar>
              <w:top w:w="80" w:type="dxa"/>
              <w:bottom w:w="80" w:type="dxa"/>
              <w:left w:w="120" w:type="dxa"/>
              <w:right w:w="120" w:type="dxa"/>
            </w:tcMar>
          </w:tcPr>
          <w:p>
            <w:pPr>
              <w:spacing w:before="0" w:after="40" w:line="276" w:lineRule="auto"/>
            </w:pPr>
            <w:r>
              <w:rPr>
                <w:rFonts w:ascii="Calibri" w:hAnsi="Calibri"/>
                <w:color w:val="2C3E50"/>
                <w:sz w:val="17"/>
              </w:rPr>
              <w:t>Asset Depreciation</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Period End Depreciation Run</w:t>
            </w:r>
          </w:p>
        </w:tc>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Depreciation Expense A/c</w:t>
            </w:r>
          </w:p>
        </w:tc>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Accumulated Depreciation A/c</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Year-end adjusting entry.</w:t>
            </w:r>
          </w:p>
        </w:tc>
      </w:tr>
    </w:tbl>
    <w:p>
      <w:pPr>
        <w:spacing w:before="0" w:after="120"/>
      </w:pPr>
    </w:p>
    <w:p>
      <w:pPr>
        <w:keepNext/>
        <w:spacing w:before="360" w:after="120"/>
      </w:pPr>
      <w:r>
        <w:rPr>
          <w:rFonts w:ascii="Calibri" w:hAnsi="Calibri"/>
          <w:b/>
          <w:color w:val="1B365D"/>
          <w:sz w:val="30"/>
        </w:rPr>
        <w:t>7. Comprehensive Database Architecture &amp; Entity Relationship Diagrams</w:t>
      </w:r>
    </w:p>
    <w:p>
      <w:pPr>
        <w:spacing w:before="0" w:after="80" w:line="276" w:lineRule="auto"/>
      </w:pPr>
      <w:r>
        <w:rPr>
          <w:rFonts w:ascii="Calibri" w:hAnsi="Calibri"/>
          <w:color w:val="2C3E50"/>
          <w:sz w:val="20"/>
        </w:rPr>
        <w:t>The SDK Solutions ERP relational database schema is organized into 10 cohesive domain schemas containing 48 core relational tables. All tables adhere to strict Third Normal Form (3NF), utilize explicit foreign key constraints, enforce data integrity via check constraints, maintain audit columns, and support multi-branch tenancy.</w:t>
      </w:r>
    </w:p>
    <w:p>
      <w:pPr>
        <w:keepNext/>
        <w:spacing w:before="280" w:after="80"/>
      </w:pPr>
      <w:r>
        <w:rPr>
          <w:rFonts w:ascii="Calibri" w:hAnsi="Calibri"/>
          <w:b/>
          <w:color w:val="2B547E"/>
          <w:sz w:val="25"/>
        </w:rPr>
        <w:t>7.1 Master System Entity Relationship Diagram (High-Level Master ERD)</w:t>
      </w:r>
    </w:p>
    <w:p>
      <w:pPr>
        <w:spacing w:before="160" w:after="40"/>
        <w:jc w:val="center"/>
      </w:pPr>
      <w:r>
        <w:drawing>
          <wp:inline xmlns:a="http://schemas.openxmlformats.org/drawingml/2006/main" xmlns:pic="http://schemas.openxmlformats.org/drawingml/2006/picture">
            <wp:extent cx="6035040" cy="4163710"/>
            <wp:docPr id="3" name="Picture 3"/>
            <wp:cNvGraphicFramePr>
              <a:graphicFrameLocks noChangeAspect="1"/>
            </wp:cNvGraphicFramePr>
            <a:graphic>
              <a:graphicData uri="http://schemas.openxmlformats.org/drawingml/2006/picture">
                <pic:pic>
                  <pic:nvPicPr>
                    <pic:cNvPr id="0" name="diagram_3_master_erd.png"/>
                    <pic:cNvPicPr/>
                  </pic:nvPicPr>
                  <pic:blipFill>
                    <a:blip r:embed="rId13"/>
                    <a:stretch>
                      <a:fillRect/>
                    </a:stretch>
                  </pic:blipFill>
                  <pic:spPr>
                    <a:xfrm>
                      <a:off x="0" y="0"/>
                      <a:ext cx="6035040" cy="4163710"/>
                    </a:xfrm>
                    <a:prstGeom prst="rect"/>
                  </pic:spPr>
                </pic:pic>
              </a:graphicData>
            </a:graphic>
          </wp:inline>
        </w:drawing>
      </w:r>
    </w:p>
    <w:p>
      <w:pPr>
        <w:spacing w:before="40" w:after="160"/>
        <w:jc w:val="center"/>
      </w:pPr>
      <w:r>
        <w:rPr>
          <w:rFonts w:ascii="Calibri" w:hAnsi="Calibri"/>
          <w:i/>
          <w:color w:val="64748B"/>
          <w:sz w:val="17"/>
        </w:rPr>
        <w:t>Figure 3: Master High-Level Entity Relationship Diagram (Core Domain Interconnections)</w:t>
      </w:r>
    </w:p>
    <w:p>
      <w:pPr>
        <w:keepNext/>
        <w:spacing w:before="280" w:after="80"/>
      </w:pPr>
      <w:r>
        <w:rPr>
          <w:rFonts w:ascii="Calibri" w:hAnsi="Calibri"/>
          <w:b/>
          <w:color w:val="2B547E"/>
          <w:sz w:val="25"/>
        </w:rPr>
        <w:t>7.2 Domain Subsystem ERDs</w:t>
      </w:r>
    </w:p>
    <w:p>
      <w:pPr>
        <w:spacing w:before="160" w:after="40"/>
        <w:jc w:val="center"/>
      </w:pPr>
      <w:r>
        <w:drawing>
          <wp:inline xmlns:a="http://schemas.openxmlformats.org/drawingml/2006/main" xmlns:pic="http://schemas.openxmlformats.org/drawingml/2006/picture">
            <wp:extent cx="6035040" cy="4006455"/>
            <wp:docPr id="4" name="Picture 4"/>
            <wp:cNvGraphicFramePr>
              <a:graphicFrameLocks noChangeAspect="1"/>
            </wp:cNvGraphicFramePr>
            <a:graphic>
              <a:graphicData uri="http://schemas.openxmlformats.org/drawingml/2006/picture">
                <pic:pic>
                  <pic:nvPicPr>
                    <pic:cNvPr id="0" name="diagram_4_erd_masters_security.png"/>
                    <pic:cNvPicPr/>
                  </pic:nvPicPr>
                  <pic:blipFill>
                    <a:blip r:embed="rId14"/>
                    <a:stretch>
                      <a:fillRect/>
                    </a:stretch>
                  </pic:blipFill>
                  <pic:spPr>
                    <a:xfrm>
                      <a:off x="0" y="0"/>
                      <a:ext cx="6035040" cy="4006455"/>
                    </a:xfrm>
                    <a:prstGeom prst="rect"/>
                  </pic:spPr>
                </pic:pic>
              </a:graphicData>
            </a:graphic>
          </wp:inline>
        </w:drawing>
      </w:r>
    </w:p>
    <w:p>
      <w:pPr>
        <w:spacing w:before="40" w:after="160"/>
        <w:jc w:val="center"/>
      </w:pPr>
      <w:r>
        <w:rPr>
          <w:rFonts w:ascii="Calibri" w:hAnsi="Calibri"/>
          <w:i/>
          <w:color w:val="64748B"/>
          <w:sz w:val="17"/>
        </w:rPr>
        <w:t>Figure 4: Domain 1 ERD — Master Data, Security (RBAC), Users &amp; Approval Engine</w:t>
      </w:r>
    </w:p>
    <w:p>
      <w:pPr>
        <w:spacing w:before="160" w:after="40"/>
        <w:jc w:val="center"/>
      </w:pPr>
      <w:r>
        <w:drawing>
          <wp:inline xmlns:a="http://schemas.openxmlformats.org/drawingml/2006/main" xmlns:pic="http://schemas.openxmlformats.org/drawingml/2006/picture">
            <wp:extent cx="6035040" cy="3929793"/>
            <wp:docPr id="5" name="Picture 5"/>
            <wp:cNvGraphicFramePr>
              <a:graphicFrameLocks noChangeAspect="1"/>
            </wp:cNvGraphicFramePr>
            <a:graphic>
              <a:graphicData uri="http://schemas.openxmlformats.org/drawingml/2006/picture">
                <pic:pic>
                  <pic:nvPicPr>
                    <pic:cNvPr id="0" name="diagram_5_erd_projects_sales.png"/>
                    <pic:cNvPicPr/>
                  </pic:nvPicPr>
                  <pic:blipFill>
                    <a:blip r:embed="rId15"/>
                    <a:stretch>
                      <a:fillRect/>
                    </a:stretch>
                  </pic:blipFill>
                  <pic:spPr>
                    <a:xfrm>
                      <a:off x="0" y="0"/>
                      <a:ext cx="6035040" cy="3929793"/>
                    </a:xfrm>
                    <a:prstGeom prst="rect"/>
                  </pic:spPr>
                </pic:pic>
              </a:graphicData>
            </a:graphic>
          </wp:inline>
        </w:drawing>
      </w:r>
    </w:p>
    <w:p>
      <w:pPr>
        <w:spacing w:before="40" w:after="160"/>
        <w:jc w:val="center"/>
      </w:pPr>
      <w:r>
        <w:rPr>
          <w:rFonts w:ascii="Calibri" w:hAnsi="Calibri"/>
          <w:i/>
          <w:color w:val="64748B"/>
          <w:sz w:val="17"/>
        </w:rPr>
        <w:t>Figure 5: Domain 2 ERD — Project Management, Sales Invoicing &amp; Accounts Receivable</w:t>
      </w:r>
    </w:p>
    <w:p>
      <w:pPr>
        <w:spacing w:before="160" w:after="40"/>
        <w:jc w:val="center"/>
      </w:pPr>
      <w:r>
        <w:drawing>
          <wp:inline xmlns:a="http://schemas.openxmlformats.org/drawingml/2006/main" xmlns:pic="http://schemas.openxmlformats.org/drawingml/2006/picture">
            <wp:extent cx="6035040" cy="3929793"/>
            <wp:docPr id="6" name="Picture 6"/>
            <wp:cNvGraphicFramePr>
              <a:graphicFrameLocks noChangeAspect="1"/>
            </wp:cNvGraphicFramePr>
            <a:graphic>
              <a:graphicData uri="http://schemas.openxmlformats.org/drawingml/2006/picture">
                <pic:pic>
                  <pic:nvPicPr>
                    <pic:cNvPr id="0" name="diagram_6_erd_procurement_inventory.png"/>
                    <pic:cNvPicPr/>
                  </pic:nvPicPr>
                  <pic:blipFill>
                    <a:blip r:embed="rId16"/>
                    <a:stretch>
                      <a:fillRect/>
                    </a:stretch>
                  </pic:blipFill>
                  <pic:spPr>
                    <a:xfrm>
                      <a:off x="0" y="0"/>
                      <a:ext cx="6035040" cy="3929793"/>
                    </a:xfrm>
                    <a:prstGeom prst="rect"/>
                  </pic:spPr>
                </pic:pic>
              </a:graphicData>
            </a:graphic>
          </wp:inline>
        </w:drawing>
      </w:r>
    </w:p>
    <w:p>
      <w:pPr>
        <w:spacing w:before="40" w:after="160"/>
        <w:jc w:val="center"/>
      </w:pPr>
      <w:r>
        <w:rPr>
          <w:rFonts w:ascii="Calibri" w:hAnsi="Calibri"/>
          <w:i/>
          <w:color w:val="64748B"/>
          <w:sz w:val="17"/>
        </w:rPr>
        <w:t>Figure 6: Domain 3 ERD — Procurement, Office Inventory &amp; Accounts Payable</w:t>
      </w:r>
    </w:p>
    <w:p>
      <w:pPr>
        <w:spacing w:before="160" w:after="40"/>
        <w:jc w:val="center"/>
      </w:pPr>
      <w:r>
        <w:drawing>
          <wp:inline xmlns:a="http://schemas.openxmlformats.org/drawingml/2006/main" xmlns:pic="http://schemas.openxmlformats.org/drawingml/2006/picture">
            <wp:extent cx="6035040" cy="3929793"/>
            <wp:docPr id="7" name="Picture 7"/>
            <wp:cNvGraphicFramePr>
              <a:graphicFrameLocks noChangeAspect="1"/>
            </wp:cNvGraphicFramePr>
            <a:graphic>
              <a:graphicData uri="http://schemas.openxmlformats.org/drawingml/2006/picture">
                <pic:pic>
                  <pic:nvPicPr>
                    <pic:cNvPr id="0" name="diagram_7_erd_finance_gst_banking.png"/>
                    <pic:cNvPicPr/>
                  </pic:nvPicPr>
                  <pic:blipFill>
                    <a:blip r:embed="rId17"/>
                    <a:stretch>
                      <a:fillRect/>
                    </a:stretch>
                  </pic:blipFill>
                  <pic:spPr>
                    <a:xfrm>
                      <a:off x="0" y="0"/>
                      <a:ext cx="6035040" cy="3929793"/>
                    </a:xfrm>
                    <a:prstGeom prst="rect"/>
                  </pic:spPr>
                </pic:pic>
              </a:graphicData>
            </a:graphic>
          </wp:inline>
        </w:drawing>
      </w:r>
    </w:p>
    <w:p>
      <w:pPr>
        <w:spacing w:before="40" w:after="160"/>
        <w:jc w:val="center"/>
      </w:pPr>
      <w:r>
        <w:rPr>
          <w:rFonts w:ascii="Calibri" w:hAnsi="Calibri"/>
          <w:i/>
          <w:color w:val="64748B"/>
          <w:sz w:val="17"/>
        </w:rPr>
        <w:t>Figure 7: Domain 4 ERD — Financial Accounting, GST Compliance &amp; Banking Engine</w:t>
      </w:r>
    </w:p>
    <w:p>
      <w:pPr>
        <w:spacing w:before="160" w:after="40"/>
        <w:jc w:val="center"/>
      </w:pPr>
      <w:r>
        <w:drawing>
          <wp:inline xmlns:a="http://schemas.openxmlformats.org/drawingml/2006/main" xmlns:pic="http://schemas.openxmlformats.org/drawingml/2006/picture">
            <wp:extent cx="6035040" cy="3929793"/>
            <wp:docPr id="8" name="Picture 8"/>
            <wp:cNvGraphicFramePr>
              <a:graphicFrameLocks noChangeAspect="1"/>
            </wp:cNvGraphicFramePr>
            <a:graphic>
              <a:graphicData uri="http://schemas.openxmlformats.org/drawingml/2006/picture">
                <pic:pic>
                  <pic:nvPicPr>
                    <pic:cNvPr id="0" name="diagram_8_erd_payroll_assets.png"/>
                    <pic:cNvPicPr/>
                  </pic:nvPicPr>
                  <pic:blipFill>
                    <a:blip r:embed="rId18"/>
                    <a:stretch>
                      <a:fillRect/>
                    </a:stretch>
                  </pic:blipFill>
                  <pic:spPr>
                    <a:xfrm>
                      <a:off x="0" y="0"/>
                      <a:ext cx="6035040" cy="3929793"/>
                    </a:xfrm>
                    <a:prstGeom prst="rect"/>
                  </pic:spPr>
                </pic:pic>
              </a:graphicData>
            </a:graphic>
          </wp:inline>
        </w:drawing>
      </w:r>
    </w:p>
    <w:p>
      <w:pPr>
        <w:spacing w:before="40" w:after="160"/>
        <w:jc w:val="center"/>
      </w:pPr>
      <w:r>
        <w:rPr>
          <w:rFonts w:ascii="Calibri" w:hAnsi="Calibri"/>
          <w:i/>
          <w:color w:val="64748B"/>
          <w:sz w:val="17"/>
        </w:rPr>
        <w:t>Figure 8: Domain 5 ERD — Payroll, Employee Records &amp; Fixed Asset Management</w:t>
      </w:r>
    </w:p>
    <w:p>
      <w:pPr>
        <w:keepNext/>
        <w:spacing w:before="360" w:after="120"/>
      </w:pPr>
      <w:r>
        <w:rPr>
          <w:rFonts w:ascii="Calibri" w:hAnsi="Calibri"/>
          <w:b/>
          <w:color w:val="1B365D"/>
          <w:sz w:val="30"/>
        </w:rPr>
        <w:t>8. Complete Relational Data Dictionary (Table Schemas)</w:t>
      </w:r>
    </w:p>
    <w:p>
      <w:pPr>
        <w:spacing w:before="0" w:after="80" w:line="276" w:lineRule="auto"/>
      </w:pPr>
      <w:r>
        <w:rPr>
          <w:rFonts w:ascii="Calibri" w:hAnsi="Calibri"/>
          <w:color w:val="2C3E50"/>
          <w:sz w:val="20"/>
        </w:rPr>
        <w:t>The following data dictionary provides exhaustive technical definitions for all 48 database tables across the 10 domain subsystems. Each table specification includes exact column names, SQL data types, nullability, primary/foreign key constraints, default values, and operational descriptions.</w:t>
      </w:r>
    </w:p>
    <w:p>
      <w:pPr>
        <w:keepNext/>
        <w:spacing w:before="280" w:after="80"/>
      </w:pPr>
      <w:r>
        <w:rPr>
          <w:rFonts w:ascii="Calibri" w:hAnsi="Calibri"/>
          <w:b/>
          <w:color w:val="2B547E"/>
          <w:sz w:val="25"/>
        </w:rPr>
        <w:t>8.1 Domain 1: Authentication, Authorization &amp; Security Tables</w:t>
      </w:r>
    </w:p>
    <w:p>
      <w:pPr>
        <w:keepNext/>
        <w:spacing w:before="200" w:after="40"/>
      </w:pPr>
      <w:r>
        <w:rPr>
          <w:rFonts w:ascii="Calibri" w:hAnsi="Calibri"/>
          <w:b/>
          <w:color w:val="0D5C75"/>
          <w:sz w:val="22"/>
        </w:rPr>
        <w:t>Table: companies (Security &amp; Admin)</w:t>
      </w:r>
    </w:p>
    <w:p>
      <w:pPr>
        <w:spacing w:before="0" w:after="80" w:line="276" w:lineRule="auto"/>
      </w:pPr>
      <w:r>
        <w:rPr>
          <w:rFonts w:ascii="Calibri" w:hAnsi="Calibri"/>
          <w:color w:val="2C3E50"/>
          <w:sz w:val="20"/>
        </w:rPr>
        <w:t>Description: Stores legal company profiles and tenancy definitions.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Unique primary identifier for company.</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company_code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Unique alphanumeric code (e.g. SDK-CORP).</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company_name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VARCHAR(150)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Registered corporate trade name.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legal_name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VARCHAR(150)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Full statutory legal entity name.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gstin</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VARCHAR(15)</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Unique, 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15-digit Indian GST Identification Number.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pan</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VARCHAR(10)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10-digit Indian Permanent Account Number.</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tan</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VARCHAR(10)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Tax Deduction Account Number for TDS.</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base_currency</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VARCHAR(3)</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'INR'</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Standard ISO-4217 3-letter currency code.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financial_year_start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Start date of corporate fiscal year (e.g. 2026-04-01).</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created_at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TIMESTAMP</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CURRENT_TIMESTAMP</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Record creation audit timestamp.</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updated_at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TIMESTAMP</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CURRENT_TIMESTAMP</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Record modification audit timestamp.</w:t>
            </w:r>
          </w:p>
        </w:tc>
      </w:tr>
    </w:tbl>
    <w:p>
      <w:pPr>
        <w:spacing w:before="0" w:after="120"/>
      </w:pPr>
    </w:p>
    <w:p>
      <w:pPr>
        <w:keepNext/>
        <w:spacing w:before="200" w:after="40"/>
      </w:pPr>
      <w:r>
        <w:rPr>
          <w:rFonts w:ascii="Calibri" w:hAnsi="Calibri"/>
          <w:b/>
          <w:color w:val="0D5C75"/>
          <w:sz w:val="22"/>
        </w:rPr>
        <w:t>Table: branches (Security &amp; Admin)</w:t>
      </w:r>
    </w:p>
    <w:p>
      <w:pPr>
        <w:spacing w:before="0" w:after="80" w:line="276" w:lineRule="auto"/>
      </w:pPr>
      <w:r>
        <w:rPr>
          <w:rFonts w:ascii="Calibri" w:hAnsi="Calibri"/>
          <w:color w:val="2C3E50"/>
          <w:sz w:val="20"/>
        </w:rPr>
        <w:t>Description: Stores multi-branch and operational office locations.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identifier for branch location.</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company_id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companies(id).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branch_code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VARCHAR(30)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Branch code (e.g. BR-DEL-01, BR-BLR-01).</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branch_name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VARCHAR(100)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Display name of branch.</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state_code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VARCHAR(5)</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2-digit Indian State code (e.g. 07 for Delhi, 29 for Karnataka).</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gstin</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VARCHAR(15)</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Branch-specific GSTIN if separately registered.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address_line1</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VARCHAR(255)</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Physical street address.</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is_head_office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FALSE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True if primary corporate headquarters.</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is_active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TRUE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Operational status flag.</w:t>
            </w:r>
          </w:p>
        </w:tc>
      </w:tr>
    </w:tbl>
    <w:p>
      <w:pPr>
        <w:spacing w:before="0" w:after="120"/>
      </w:pPr>
    </w:p>
    <w:p>
      <w:pPr>
        <w:keepNext/>
        <w:spacing w:before="200" w:after="40"/>
      </w:pPr>
      <w:r>
        <w:rPr>
          <w:rFonts w:ascii="Calibri" w:hAnsi="Calibri"/>
          <w:b/>
          <w:color w:val="0D5C75"/>
          <w:sz w:val="22"/>
        </w:rPr>
        <w:t>Table: roles (Security &amp; Admin)</w:t>
      </w:r>
    </w:p>
    <w:p>
      <w:pPr>
        <w:spacing w:before="0" w:after="80" w:line="276" w:lineRule="auto"/>
      </w:pPr>
      <w:r>
        <w:rPr>
          <w:rFonts w:ascii="Calibri" w:hAnsi="Calibri"/>
          <w:color w:val="2C3E50"/>
          <w:sz w:val="20"/>
        </w:rPr>
        <w:t>Description: Defines system access roles for Role-Based Access Control.</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identifier for role.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role_name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Role name (e.g. SUPER_ADMIN, PROJECT_MANAGER, ACCOUNTANT).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description</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VARCHAR(255)</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Role responsibilities and scope description.</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is_system_role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FALSE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True for protected non-deletable system roles.</w:t>
            </w:r>
          </w:p>
        </w:tc>
      </w:tr>
    </w:tbl>
    <w:p>
      <w:pPr>
        <w:spacing w:before="0" w:after="120"/>
      </w:pPr>
    </w:p>
    <w:p>
      <w:pPr>
        <w:keepNext/>
        <w:spacing w:before="200" w:after="40"/>
      </w:pPr>
      <w:r>
        <w:rPr>
          <w:rFonts w:ascii="Calibri" w:hAnsi="Calibri"/>
          <w:b/>
          <w:color w:val="0D5C75"/>
          <w:sz w:val="22"/>
        </w:rPr>
        <w:t>Table: users (Security &amp; Admin)</w:t>
      </w:r>
    </w:p>
    <w:p>
      <w:pPr>
        <w:spacing w:before="0" w:after="80" w:line="276" w:lineRule="auto"/>
      </w:pPr>
      <w:r>
        <w:rPr>
          <w:rFonts w:ascii="Calibri" w:hAnsi="Calibri"/>
          <w:color w:val="2C3E50"/>
          <w:sz w:val="20"/>
        </w:rPr>
        <w:t>Description: User credentials, profile links, and login states.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identifier for user account.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company_id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companies(id).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branch_id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branches(id). Default branch context.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role_id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roles(id). Primary security role.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employee_id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employees(id) if linked to internal staff.</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username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Unique login username.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email</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VARCHAR(100)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Official email address.</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password_hash</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VARCHAR(255)</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Bcrypt / Argon2 cryptographic password hash.</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reporting_manager_id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users(id). Hierarchical approval manager.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is_active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TRUE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Account active flag.</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last_login_at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TIMESTAMP</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Timestamp of most recent successful authentication.</w:t>
            </w:r>
          </w:p>
        </w:tc>
      </w:tr>
    </w:tbl>
    <w:p>
      <w:pPr>
        <w:spacing w:before="0" w:after="120"/>
      </w:pPr>
    </w:p>
    <w:p>
      <w:pPr>
        <w:keepNext/>
        <w:spacing w:before="200" w:after="40"/>
      </w:pPr>
      <w:r>
        <w:rPr>
          <w:rFonts w:ascii="Calibri" w:hAnsi="Calibri"/>
          <w:b/>
          <w:color w:val="0D5C75"/>
          <w:sz w:val="22"/>
        </w:rPr>
        <w:t>Table: role_permissions (Security &amp; Admin)</w:t>
      </w:r>
    </w:p>
    <w:p>
      <w:pPr>
        <w:spacing w:before="0" w:after="80" w:line="276" w:lineRule="auto"/>
      </w:pPr>
      <w:r>
        <w:rPr>
          <w:rFonts w:ascii="Calibri" w:hAnsi="Calibri"/>
          <w:color w:val="2C3E50"/>
          <w:sz w:val="20"/>
        </w:rPr>
        <w:t>Description: Granular module-action permission mapping matrix.</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role_id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roles(id).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module_code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Target module (e.g. PROJECTS, SALES, ACCOUNTS, GST).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submodule_code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Target submodule (e.g. INVOICES, PO, VENDORS, BRS).</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can_view</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FALSE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Read permission.</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can_create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FALSE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Insert / Add permission.</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can_edit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FALSE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Update permission.</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can_delete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FALSE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Delete permission (restricted where financial data exists).</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can_approve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FALSE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Authorization / Approval permission.</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can_post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FALSE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Financial GL posting permission.</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can_export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FALSE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Excel/CSV/PDF export permission.</w:t>
            </w:r>
          </w:p>
        </w:tc>
      </w:tr>
    </w:tbl>
    <w:p>
      <w:pPr>
        <w:spacing w:before="0" w:after="120"/>
      </w:pPr>
    </w:p>
    <w:p>
      <w:pPr>
        <w:keepNext/>
        <w:spacing w:before="200" w:after="40"/>
      </w:pPr>
      <w:r>
        <w:rPr>
          <w:rFonts w:ascii="Calibri" w:hAnsi="Calibri"/>
          <w:b/>
          <w:color w:val="0D5C75"/>
          <w:sz w:val="22"/>
        </w:rPr>
        <w:t>Table: audit_logs (Security &amp; Admin)</w:t>
      </w:r>
    </w:p>
    <w:p>
      <w:pPr>
        <w:spacing w:before="0" w:after="80" w:line="276" w:lineRule="auto"/>
      </w:pPr>
      <w:r>
        <w:rPr>
          <w:rFonts w:ascii="Calibri" w:hAnsi="Calibri"/>
          <w:color w:val="2C3E50"/>
          <w:sz w:val="20"/>
        </w:rPr>
        <w:t>Description: Immutable system-wide change log for compliance and security.</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user_id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users(id). User initiating action (null for system).</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table_name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VARCHAR(60)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Target relational table name.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record_id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Primary key value of affected record.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action_type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INSERT, UPDATE, DELETE, APPROVE, REOPEN, LOGIN.</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old_payload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JSONB</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Pre-modification state in JSON format.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new_payload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JSONB</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Post-modification state in JSON format.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ip_address</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VARCHAR(45)</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IPv4 or IPv6 client network address.</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user_agent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VARCHAR(255)</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Browser / Client device agent.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created_at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TIMESTAMP</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CURRENT_TIMESTAMP</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Immutable event occurrence timestamp.</w:t>
            </w:r>
          </w:p>
        </w:tc>
      </w:tr>
    </w:tbl>
    <w:p>
      <w:pPr>
        <w:spacing w:before="0" w:after="120"/>
      </w:pPr>
    </w:p>
    <w:p>
      <w:pPr>
        <w:keepNext/>
        <w:spacing w:before="200" w:after="40"/>
      </w:pPr>
      <w:r>
        <w:rPr>
          <w:rFonts w:ascii="Calibri" w:hAnsi="Calibri"/>
          <w:b/>
          <w:color w:val="0D5C75"/>
          <w:sz w:val="22"/>
        </w:rPr>
        <w:t>Table: approval_rules (Security &amp; Admin)</w:t>
      </w:r>
    </w:p>
    <w:p>
      <w:pPr>
        <w:spacing w:before="0" w:after="80" w:line="276" w:lineRule="auto"/>
      </w:pPr>
      <w:r>
        <w:rPr>
          <w:rFonts w:ascii="Calibri" w:hAnsi="Calibri"/>
          <w:color w:val="2C3E50"/>
          <w:sz w:val="20"/>
        </w:rPr>
        <w:t>Description: Configurable business rules for transaction approvals.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module_code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Target module (e.g. PROCUREMENT, PAYMENTS, PROJECTS).</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transaction_type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PO, PURCHASE_BILL, PAYMENT_VOUCHER, EXPENSE_CLAIM, PROJECT_CLOSE.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min_amount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Minimum threshold triggering this rule.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max_amount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Maximum threshold for this rule tier.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approver_role_id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roles(id) required for authorization.</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level_order</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1</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Hierarchical sequence order (Level 1, Level 2, Level 3).</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is_active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TRUE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Rule active flag.</w:t>
            </w:r>
          </w:p>
        </w:tc>
      </w:tr>
    </w:tbl>
    <w:p>
      <w:pPr>
        <w:spacing w:before="0" w:after="120"/>
      </w:pPr>
    </w:p>
    <w:p>
      <w:pPr>
        <w:keepNext/>
        <w:spacing w:before="200" w:after="40"/>
      </w:pPr>
      <w:r>
        <w:rPr>
          <w:rFonts w:ascii="Calibri" w:hAnsi="Calibri"/>
          <w:b/>
          <w:color w:val="0D5C75"/>
          <w:sz w:val="22"/>
        </w:rPr>
        <w:t>Table: approval_requests (Security &amp; Admin)</w:t>
      </w:r>
    </w:p>
    <w:p>
      <w:pPr>
        <w:spacing w:before="0" w:after="80" w:line="276" w:lineRule="auto"/>
      </w:pPr>
      <w:r>
        <w:rPr>
          <w:rFonts w:ascii="Calibri" w:hAnsi="Calibri"/>
          <w:color w:val="2C3E50"/>
          <w:sz w:val="20"/>
        </w:rPr>
        <w:t>Description: Tracks active and historical transaction approval lifecycles.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rule_id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approval_rules(id).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entity_type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Target entity (e.g. purchase_orders, payment_vouchers).</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entity_id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Primary key of target transaction.</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requested_by</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users(id) who submitted the request.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assigned_to_role_id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roles(id) responsible for decision.</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status</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'PENDING'</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PENDING, APPROVED, REJECTED, CANCELLED.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action_by</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users(id) who made the final decision.</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action_at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TIMESTAMP</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Timestamp when decision was committed.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comments</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TEXT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Approver remarks, justification, or rejection reasons.</w:t>
            </w:r>
          </w:p>
        </w:tc>
      </w:tr>
    </w:tbl>
    <w:p>
      <w:pPr>
        <w:spacing w:before="0" w:after="120"/>
      </w:pPr>
    </w:p>
    <w:p>
      <w:pPr>
        <w:keepNext/>
        <w:spacing w:before="200" w:after="40"/>
      </w:pPr>
      <w:r>
        <w:rPr>
          <w:rFonts w:ascii="Calibri" w:hAnsi="Calibri"/>
          <w:b/>
          <w:color w:val="0D5C75"/>
          <w:sz w:val="22"/>
        </w:rPr>
        <w:t>Table: document_attachments (Security &amp; Admin)</w:t>
      </w:r>
    </w:p>
    <w:p>
      <w:pPr>
        <w:spacing w:before="0" w:after="80" w:line="276" w:lineRule="auto"/>
      </w:pPr>
      <w:r>
        <w:rPr>
          <w:rFonts w:ascii="Calibri" w:hAnsi="Calibri"/>
          <w:color w:val="2C3E50"/>
          <w:sz w:val="20"/>
        </w:rPr>
        <w:t>Description: Centralized polymorphic file attachment repository.</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entity_type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Polymorphic target (e.g. projects, sales_invoices, grn).</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entity_id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key of target transaction/record.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file_name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VARCHAR(255)</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Original uploaded filename.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file_path</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VARCHAR(500)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Storage URI / S3 object key.</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file_size_bytes</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Size in bytes for storage tracking.</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mime_type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VARCHAR(100)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MIME type (e.g. application/pdf, image/png).</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file_hash_sha256</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VARCHAR(64)</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Cryptographic SHA-256 integrity hash.</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uploaded_by</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users(id).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uploaded_at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TIMESTAMP</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CURRENT_TIMESTAMP</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Upload timestamp.</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version_number</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1</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Document version sequence.</w:t>
            </w:r>
          </w:p>
        </w:tc>
      </w:tr>
    </w:tbl>
    <w:p>
      <w:pPr>
        <w:spacing w:before="0" w:after="120"/>
      </w:pPr>
    </w:p>
    <w:p>
      <w:pPr>
        <w:keepNext/>
        <w:spacing w:before="280" w:after="80"/>
      </w:pPr>
      <w:r>
        <w:rPr>
          <w:rFonts w:ascii="Calibri" w:hAnsi="Calibri"/>
          <w:b/>
          <w:color w:val="2B547E"/>
          <w:sz w:val="25"/>
        </w:rPr>
        <w:t>8.2 Domain 2: Core Master Data Entities</w:t>
      </w:r>
    </w:p>
    <w:p>
      <w:pPr>
        <w:keepNext/>
        <w:spacing w:before="200" w:after="40"/>
      </w:pPr>
      <w:r>
        <w:rPr>
          <w:rFonts w:ascii="Calibri" w:hAnsi="Calibri"/>
          <w:b/>
          <w:color w:val="0D5C75"/>
          <w:sz w:val="22"/>
        </w:rPr>
        <w:t>Table: clients (Master Data)</w:t>
      </w:r>
    </w:p>
    <w:p>
      <w:pPr>
        <w:spacing w:before="0" w:after="80" w:line="276" w:lineRule="auto"/>
      </w:pPr>
      <w:r>
        <w:rPr>
          <w:rFonts w:ascii="Calibri" w:hAnsi="Calibri"/>
          <w:color w:val="2C3E50"/>
          <w:sz w:val="20"/>
        </w:rPr>
        <w:t>Description: Customer master directory for sales and billing.</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client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company_id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companies(id).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client_code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VARCHAR(30)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Unique alphanumeric code (e.g. CLT-00124).</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client_name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VARCHAR(150)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Trade name of client.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contact_person</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VARCHAR(100)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business representative.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email</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VARCHAR(100)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Billing / Accounts email.</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phone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Direct contact phone number.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billing_address</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TEXT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Registered billing address.</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shipping_address</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TEXT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Physical delivery site address.</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state_code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VARCHAR(5)</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2-digit Indian GST state code (determines POS).</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gstin</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VARCHAR(15)</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15-character GSTIN (mandatory for B2B tax invoicing).</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pan</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VARCHAR(10)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10-character Permanent Account Number.</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credit_limit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Maximum permissible outstanding receivables.</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credit_days</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30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Agreed standard payment credit days.</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is_active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TRUE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Active trading status.</w:t>
            </w:r>
          </w:p>
        </w:tc>
      </w:tr>
    </w:tbl>
    <w:p>
      <w:pPr>
        <w:spacing w:before="0" w:after="120"/>
      </w:pPr>
    </w:p>
    <w:p>
      <w:pPr>
        <w:keepNext/>
        <w:spacing w:before="200" w:after="40"/>
      </w:pPr>
      <w:r>
        <w:rPr>
          <w:rFonts w:ascii="Calibri" w:hAnsi="Calibri"/>
          <w:b/>
          <w:color w:val="0D5C75"/>
          <w:sz w:val="22"/>
        </w:rPr>
        <w:t>Table: vendors (Master Data)</w:t>
      </w:r>
    </w:p>
    <w:p>
      <w:pPr>
        <w:spacing w:before="0" w:after="80" w:line="276" w:lineRule="auto"/>
      </w:pPr>
      <w:r>
        <w:rPr>
          <w:rFonts w:ascii="Calibri" w:hAnsi="Calibri"/>
          <w:color w:val="2C3E50"/>
          <w:sz w:val="20"/>
        </w:rPr>
        <w:t>Description: Supplier and contractor master directory.</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vendor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company_id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companies(id).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vendor_code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VARCHAR(30)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Unique alphanumeric code (e.g. VND-00085).</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vendor_name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VARCHAR(150)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Official registered supplier name.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vendor_category</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'GENERAL'</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GOODS, SERVICES, CONTRACTOR, UTILITY.</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gstin</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VARCHAR(15)</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Vendor GSTIN for Inward ITC validation.</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pan</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VARCHAR(10)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Vendor PAN (mandatory for TDS compliance).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msme_type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VARCHAR(30)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MICRO, SMALL, MEDIUM, NON_MSME.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bank_name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VARCHAR(100)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Disbursement bank name.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bank_account_no</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Vendor bank account number.</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ifsc_code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Bank branch IFSC code for NEFT/RTGS.</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payment_terms_days</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30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Payment credit days.</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is_active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TRUE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Active supplier status.</w:t>
            </w:r>
          </w:p>
        </w:tc>
      </w:tr>
    </w:tbl>
    <w:p>
      <w:pPr>
        <w:spacing w:before="0" w:after="120"/>
      </w:pPr>
    </w:p>
    <w:p>
      <w:pPr>
        <w:keepNext/>
        <w:spacing w:before="200" w:after="40"/>
      </w:pPr>
      <w:r>
        <w:rPr>
          <w:rFonts w:ascii="Calibri" w:hAnsi="Calibri"/>
          <w:b/>
          <w:color w:val="0D5C75"/>
          <w:sz w:val="22"/>
        </w:rPr>
        <w:t>Table: item_categories (Master Data)</w:t>
      </w:r>
    </w:p>
    <w:p>
      <w:pPr>
        <w:spacing w:before="0" w:after="80" w:line="276" w:lineRule="auto"/>
      </w:pPr>
      <w:r>
        <w:rPr>
          <w:rFonts w:ascii="Calibri" w:hAnsi="Calibri"/>
          <w:color w:val="2C3E50"/>
          <w:sz w:val="20"/>
        </w:rPr>
        <w:t>Description: Hierarchical classifications for consumables &amp; services.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category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category_name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VARCHAR(100)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Category name (e.g. Stationery, IT Consumables, Printing).</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parent_category_id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item_categories(id) for sub-categories.</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is_active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TRUE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Status flag.</w:t>
            </w:r>
          </w:p>
        </w:tc>
      </w:tr>
    </w:tbl>
    <w:p>
      <w:pPr>
        <w:spacing w:before="0" w:after="120"/>
      </w:pPr>
    </w:p>
    <w:p>
      <w:pPr>
        <w:keepNext/>
        <w:spacing w:before="200" w:after="40"/>
      </w:pPr>
      <w:r>
        <w:rPr>
          <w:rFonts w:ascii="Calibri" w:hAnsi="Calibri"/>
          <w:b/>
          <w:color w:val="0D5C75"/>
          <w:sz w:val="22"/>
        </w:rPr>
        <w:t>Table: item_units (Master Data)</w:t>
      </w:r>
    </w:p>
    <w:p>
      <w:pPr>
        <w:spacing w:before="0" w:after="80" w:line="276" w:lineRule="auto"/>
      </w:pPr>
      <w:r>
        <w:rPr>
          <w:rFonts w:ascii="Calibri" w:hAnsi="Calibri"/>
          <w:color w:val="2C3E50"/>
          <w:sz w:val="20"/>
        </w:rPr>
        <w:t>Description: Units of Measure (UOM) master.</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UOM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unit_code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VARCHAR(10)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Standard code (e.g. NOS, BOX, PKT, MTR, KGS, HRS).</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unit_name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Full name (e.g. Numbers, Boxes, Packets, Hours).</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is_decimal_allowed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FALSE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True for fractional quantities (e.g. 1.5 KGS).</w:t>
            </w:r>
          </w:p>
        </w:tc>
      </w:tr>
    </w:tbl>
    <w:p>
      <w:pPr>
        <w:spacing w:before="0" w:after="120"/>
      </w:pPr>
    </w:p>
    <w:p>
      <w:pPr>
        <w:keepNext/>
        <w:spacing w:before="200" w:after="40"/>
      </w:pPr>
      <w:r>
        <w:rPr>
          <w:rFonts w:ascii="Calibri" w:hAnsi="Calibri"/>
          <w:b/>
          <w:color w:val="0D5C75"/>
          <w:sz w:val="22"/>
        </w:rPr>
        <w:t>Table: items (Master Data)</w:t>
      </w:r>
    </w:p>
    <w:p>
      <w:pPr>
        <w:spacing w:before="0" w:after="80" w:line="276" w:lineRule="auto"/>
      </w:pPr>
      <w:r>
        <w:rPr>
          <w:rFonts w:ascii="Calibri" w:hAnsi="Calibri"/>
          <w:color w:val="2C3E50"/>
          <w:sz w:val="20"/>
        </w:rPr>
        <w:t>Description: Master catalog for internal office consumables &amp; services.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item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company_id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companies(id).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item_code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VARCHAR(30)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Unique SKU / Item Code (e.g. ITM-A4-PAPER).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item_name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VARCHAR(150)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Item description.</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category_id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item_categories(id).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unit_id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item_units(id).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hsn_sac_code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VARCHAR(10)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Harmonized System of Nomenclature code.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tax_rate_id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tax_rates(id).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unit_cost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DECIMAL(12,2)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Standard / Weighted Average Cost rate.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current_stock_qty</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DECIMAL(10,2)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Real-time on-hand internal stock quantity.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reorder_level_qty</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DECIMAL(10,2)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Threshold triggering Low Stock Alert.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is_durable_asset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FALSE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Must be FALSE. (Durable items go to fixed_assets).</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is_active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TRUE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Active status flag.</w:t>
            </w:r>
          </w:p>
        </w:tc>
      </w:tr>
    </w:tbl>
    <w:p>
      <w:pPr>
        <w:spacing w:before="0" w:after="120"/>
      </w:pPr>
    </w:p>
    <w:p>
      <w:pPr>
        <w:keepNext/>
        <w:spacing w:before="200" w:after="40"/>
      </w:pPr>
      <w:r>
        <w:rPr>
          <w:rFonts w:ascii="Calibri" w:hAnsi="Calibri"/>
          <w:b/>
          <w:color w:val="0D5C75"/>
          <w:sz w:val="22"/>
        </w:rPr>
        <w:t>Table: tax_rates (Master Data)</w:t>
      </w:r>
    </w:p>
    <w:p>
      <w:pPr>
        <w:spacing w:before="0" w:after="80" w:line="276" w:lineRule="auto"/>
      </w:pPr>
      <w:r>
        <w:rPr>
          <w:rFonts w:ascii="Calibri" w:hAnsi="Calibri"/>
          <w:color w:val="2C3E50"/>
          <w:sz w:val="20"/>
        </w:rPr>
        <w:t>Description: Standard GST tax rate schedules.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tax rate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tax_name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e.g. GST 18%, GST 12%, GST 5%, GST 0%, EXEMPT.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rate_percentage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Total tax percentage (e.g. 18.00).</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cgst_percentage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Central tax split (e.g. 9.00).</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sgst_percentage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State tax split (e.g. 9.00).</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igst_percentage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Integrated inter-state tax rate (e.g. 18.00).</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is_active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TRUE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Status flag.</w:t>
            </w:r>
          </w:p>
        </w:tc>
      </w:tr>
    </w:tbl>
    <w:p>
      <w:pPr>
        <w:spacing w:before="0" w:after="120"/>
      </w:pPr>
    </w:p>
    <w:p>
      <w:pPr>
        <w:keepNext/>
        <w:spacing w:before="200" w:after="40"/>
      </w:pPr>
      <w:r>
        <w:rPr>
          <w:rFonts w:ascii="Calibri" w:hAnsi="Calibri"/>
          <w:b/>
          <w:color w:val="0D5C75"/>
          <w:sz w:val="22"/>
        </w:rPr>
        <w:t>Table: hsn_sac_codes (Master Data)</w:t>
      </w:r>
    </w:p>
    <w:p>
      <w:pPr>
        <w:spacing w:before="0" w:after="80" w:line="276" w:lineRule="auto"/>
      </w:pPr>
      <w:r>
        <w:rPr>
          <w:rFonts w:ascii="Calibri" w:hAnsi="Calibri"/>
          <w:color w:val="2C3E50"/>
          <w:sz w:val="20"/>
        </w:rPr>
        <w:t>Description: HSN goods and SAC service statutory classification master.</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code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VARCHAR(10)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HSN (4/6/8 digit) or SAC (6 digit) code.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description</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VARCHAR(255)</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Official tax classification description.</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type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VARCHAR(10)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'GOODS'</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GOODS or SERVICES.</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default_tax_rate_id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tax_rates(id).</w:t>
            </w:r>
          </w:p>
        </w:tc>
      </w:tr>
    </w:tbl>
    <w:p>
      <w:pPr>
        <w:spacing w:before="0" w:after="120"/>
      </w:pPr>
    </w:p>
    <w:p>
      <w:pPr>
        <w:keepNext/>
        <w:spacing w:before="280" w:after="80"/>
      </w:pPr>
      <w:r>
        <w:rPr>
          <w:rFonts w:ascii="Calibri" w:hAnsi="Calibri"/>
          <w:b/>
          <w:color w:val="2B547E"/>
          <w:sz w:val="25"/>
        </w:rPr>
        <w:t>8.3 Domain 3: Project Management &amp; Operations Tables</w:t>
      </w:r>
    </w:p>
    <w:p>
      <w:pPr>
        <w:keepNext/>
        <w:spacing w:before="200" w:after="40"/>
      </w:pPr>
      <w:r>
        <w:rPr>
          <w:rFonts w:ascii="Calibri" w:hAnsi="Calibri"/>
          <w:b/>
          <w:color w:val="0D5C75"/>
          <w:sz w:val="22"/>
        </w:rPr>
        <w:t>Table: projects (Projects)</w:t>
      </w:r>
    </w:p>
    <w:p>
      <w:pPr>
        <w:spacing w:before="0" w:after="80" w:line="276" w:lineRule="auto"/>
      </w:pPr>
      <w:r>
        <w:rPr>
          <w:rFonts w:ascii="Calibri" w:hAnsi="Calibri"/>
          <w:color w:val="2C3E50"/>
          <w:sz w:val="20"/>
        </w:rPr>
        <w:t>Description: Core project header records and operational controls.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project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company_id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companies(id).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branch_id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branches(id).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client_id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clients(id). Primary client.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project_code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Unique project code (e.g. PRJ-2026-0045).</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project_name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VARCHAR(200)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Project name / Title.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project_type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'STANDARD'</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STANDARD, PIPELINE, MISCELLANEOUS, AMC.</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manager_id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users(id). Designated Project Manager.</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contract_value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Total agreed commercial contract value.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budget_cost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Total budgeted operational cost.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start_date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Project execution commencement date.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expected_end_date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Target completion date.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actual_closed_date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Date when project closure protocol was executed.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status</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VARCHAR(30)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'PIPELINE'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PIPELINE, ACTIVE, ON_HOLD, COMPLETED, CLOSED.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closure_approved_by</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users(id) who authorized closure.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closure_notes</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TEXT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Final project review and audit closure remarks.</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created_at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TIMESTAMP</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CURRENT_TIMESTAMP</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Record creation timestamp.</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updated_at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TIMESTAMP</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CURRENT_TIMESTAMP</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Record update timestamp.</w:t>
            </w:r>
          </w:p>
        </w:tc>
      </w:tr>
    </w:tbl>
    <w:p>
      <w:pPr>
        <w:spacing w:before="0" w:after="120"/>
      </w:pPr>
    </w:p>
    <w:p>
      <w:pPr>
        <w:keepNext/>
        <w:spacing w:before="200" w:after="40"/>
      </w:pPr>
      <w:r>
        <w:rPr>
          <w:rFonts w:ascii="Calibri" w:hAnsi="Calibri"/>
          <w:b/>
          <w:color w:val="0D5C75"/>
          <w:sz w:val="22"/>
        </w:rPr>
        <w:t>Table: project_pos (Projects)</w:t>
      </w:r>
    </w:p>
    <w:p>
      <w:pPr>
        <w:spacing w:before="0" w:after="80" w:line="276" w:lineRule="auto"/>
      </w:pPr>
      <w:r>
        <w:rPr>
          <w:rFonts w:ascii="Calibri" w:hAnsi="Calibri"/>
          <w:color w:val="2C3E50"/>
          <w:sz w:val="20"/>
        </w:rPr>
        <w:t>Description: Client Purchase Orders and Work Orders attached to projects.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project_id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projects(id).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client_po_number</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VARCHAR(100)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Client's formal PO / WO reference string.</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po_date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Date of Client PO issuance.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po_value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Commercial monetary value of PO.</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validity_end_date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Contract expiry date.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scope_of_work</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TEXT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Summary scope text or deliverables outline.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attachment_doc_id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document_attachments(id).</w:t>
            </w:r>
          </w:p>
        </w:tc>
      </w:tr>
    </w:tbl>
    <w:p>
      <w:pPr>
        <w:spacing w:before="0" w:after="120"/>
      </w:pPr>
    </w:p>
    <w:p>
      <w:pPr>
        <w:keepNext/>
        <w:spacing w:before="200" w:after="40"/>
      </w:pPr>
      <w:r>
        <w:rPr>
          <w:rFonts w:ascii="Calibri" w:hAnsi="Calibri"/>
          <w:b/>
          <w:color w:val="0D5C75"/>
          <w:sz w:val="22"/>
        </w:rPr>
        <w:t>Table: project_milestones (Projects)</w:t>
      </w:r>
    </w:p>
    <w:p>
      <w:pPr>
        <w:spacing w:before="0" w:after="80" w:line="276" w:lineRule="auto"/>
      </w:pPr>
      <w:r>
        <w:rPr>
          <w:rFonts w:ascii="Calibri" w:hAnsi="Calibri"/>
          <w:color w:val="2C3E50"/>
          <w:sz w:val="20"/>
        </w:rPr>
        <w:t>Description: Billing and delivery milestone schedules.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project_id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projects(id).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milestone_name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VARCHAR(150)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Milestone title (e.g. Milestone 1: UAT Sign-off).</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expected_date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Target delivery date.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milestone_amount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Monetary value to bill upon completion.</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percentage_of_contract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e.g. 25.00%.</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status</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VARCHAR(30)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'PENDING'</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PENDING, DELIVERED, INVOICED, COMPLETED.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completion_date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Actual milestone delivery date.</w:t>
            </w:r>
          </w:p>
        </w:tc>
      </w:tr>
    </w:tbl>
    <w:p>
      <w:pPr>
        <w:spacing w:before="0" w:after="120"/>
      </w:pPr>
    </w:p>
    <w:p>
      <w:pPr>
        <w:keepNext/>
        <w:spacing w:before="200" w:after="40"/>
      </w:pPr>
      <w:r>
        <w:rPr>
          <w:rFonts w:ascii="Calibri" w:hAnsi="Calibri"/>
          <w:b/>
          <w:color w:val="0D5C75"/>
          <w:sz w:val="22"/>
        </w:rPr>
        <w:t>Table: project_expenses (Projects)</w:t>
      </w:r>
    </w:p>
    <w:p>
      <w:pPr>
        <w:spacing w:before="0" w:after="80" w:line="276" w:lineRule="auto"/>
      </w:pPr>
      <w:r>
        <w:rPr>
          <w:rFonts w:ascii="Calibri" w:hAnsi="Calibri"/>
          <w:color w:val="2C3E50"/>
          <w:sz w:val="20"/>
        </w:rPr>
        <w:t>Description: Direct operational expenses incurred against projects.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expense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project_id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projects(id). Tagged project.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expense_head_id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chart_of_accounts(id).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incurred_by_user_id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users(id). Staff member who incurred cost.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expense_date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Date expense occurred.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amount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DECIMAL(12,2)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Expense monetary total.</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taxable_amount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DECIMAL(12,2)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Base taxable value if GST applicable.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gst_amount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DECIMAL(12,2)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Input GST paid.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payment_mode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VARCHAR(30)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'REIMBURSEMENT'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PETTY_CASH, CORPORATE_CARD, REIMBURSEMENT, DIRECT.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status</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'SUBMITTED'</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SUBMITTED, APPROVED, REJECTED, PAID.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approved_by</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users(id).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receipt_doc_id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document_attachments(id).</w:t>
            </w:r>
          </w:p>
        </w:tc>
      </w:tr>
    </w:tbl>
    <w:p>
      <w:pPr>
        <w:spacing w:before="0" w:after="120"/>
      </w:pPr>
    </w:p>
    <w:p>
      <w:pPr>
        <w:keepNext/>
        <w:spacing w:before="200" w:after="40"/>
      </w:pPr>
      <w:r>
        <w:rPr>
          <w:rFonts w:ascii="Calibri" w:hAnsi="Calibri"/>
          <w:b/>
          <w:color w:val="0D5C75"/>
          <w:sz w:val="22"/>
        </w:rPr>
        <w:t>Table: project_deliveries (Projects)</w:t>
      </w:r>
    </w:p>
    <w:p>
      <w:pPr>
        <w:spacing w:before="0" w:after="80" w:line="276" w:lineRule="auto"/>
      </w:pPr>
      <w:r>
        <w:rPr>
          <w:rFonts w:ascii="Calibri" w:hAnsi="Calibri"/>
          <w:color w:val="2C3E50"/>
          <w:sz w:val="20"/>
        </w:rPr>
        <w:t>Description: Delivery Challans (DC) issued to clients for project deliverables.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project_id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projects(id).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dc_number</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Formal Delivery Challan number (e.g. DC-2026-0089).</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delivery_date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Date of dispatch / handover.</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dispatch_mode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COURIER, HAND_DELIVERY, DIGITAL, LOGISTICS.</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tracking_ref_no</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VARCHAR(100)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Courier consignment / AWB number.</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recipient_name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VARCHAR(100)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Client representative who accepted delivery.</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status</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'DISPATCHED'</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DISPATCHED, ACKNOWLEDGED, RETURNED.</w:t>
            </w:r>
          </w:p>
        </w:tc>
      </w:tr>
    </w:tbl>
    <w:p>
      <w:pPr>
        <w:spacing w:before="0" w:after="120"/>
      </w:pPr>
    </w:p>
    <w:p>
      <w:pPr>
        <w:keepNext/>
        <w:spacing w:before="280" w:after="80"/>
      </w:pPr>
      <w:r>
        <w:rPr>
          <w:rFonts w:ascii="Calibri" w:hAnsi="Calibri"/>
          <w:b/>
          <w:color w:val="2B547E"/>
          <w:sz w:val="25"/>
        </w:rPr>
        <w:t>8.4 Domain 4: Sales, Billing &amp; Accounts Receivable Tables</w:t>
      </w:r>
    </w:p>
    <w:p>
      <w:pPr>
        <w:keepNext/>
        <w:spacing w:before="200" w:after="40"/>
      </w:pPr>
      <w:r>
        <w:rPr>
          <w:rFonts w:ascii="Calibri" w:hAnsi="Calibri"/>
          <w:b/>
          <w:color w:val="0D5C75"/>
          <w:sz w:val="22"/>
        </w:rPr>
        <w:t>Table: quotations (Sales &amp; Billing)</w:t>
      </w:r>
    </w:p>
    <w:p>
      <w:pPr>
        <w:spacing w:before="0" w:after="80" w:line="276" w:lineRule="auto"/>
      </w:pPr>
      <w:r>
        <w:rPr>
          <w:rFonts w:ascii="Calibri" w:hAnsi="Calibri"/>
          <w:color w:val="2C3E50"/>
          <w:sz w:val="20"/>
        </w:rPr>
        <w:t>Description: Commercial quotations and formal proposals.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quotation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company_id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companies(id).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client_id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clients(id).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project_id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projects(id) if linked to pipeline project.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quote_number</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Quote reference (e.g. QT-2026-0112).</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quote_date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Quotation issue date.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validity_date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Quotation expiry date.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subtotal_amount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Total taxable value before discounts.</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discount_amount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Total commercial discount.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tax_amount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Total GST computed.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grand_total</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Final quote total value.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status</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'DRAFT'</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DRAFT, SENT, ACCEPTED, REJECTED, EXPIRED.</w:t>
            </w:r>
          </w:p>
        </w:tc>
      </w:tr>
    </w:tbl>
    <w:p>
      <w:pPr>
        <w:spacing w:before="0" w:after="120"/>
      </w:pPr>
    </w:p>
    <w:p>
      <w:pPr>
        <w:keepNext/>
        <w:spacing w:before="200" w:after="40"/>
      </w:pPr>
      <w:r>
        <w:rPr>
          <w:rFonts w:ascii="Calibri" w:hAnsi="Calibri"/>
          <w:b/>
          <w:color w:val="0D5C75"/>
          <w:sz w:val="22"/>
        </w:rPr>
        <w:t>Table: sales_orders (Sales &amp; Billing)</w:t>
      </w:r>
    </w:p>
    <w:p>
      <w:pPr>
        <w:spacing w:before="0" w:after="80" w:line="276" w:lineRule="auto"/>
      </w:pPr>
      <w:r>
        <w:rPr>
          <w:rFonts w:ascii="Calibri" w:hAnsi="Calibri"/>
          <w:color w:val="2C3E50"/>
          <w:sz w:val="20"/>
        </w:rPr>
        <w:t>Description: Approved customer orders driving delivery and billing.</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SO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company_id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companies(id).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client_id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clients(id).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project_id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projects(id). Tagged project.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quotation_id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quotations(id) if converted from quote.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so_number</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Sales order number (e.g. SO-2026-0078).</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so_date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Order confirmation date.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total_amount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Net commercial order value.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status</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'CONFIRMED'</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CONFIRMED, IN_PROGRESS, FULFILLED, CANCELLED.</w:t>
            </w:r>
          </w:p>
        </w:tc>
      </w:tr>
    </w:tbl>
    <w:p>
      <w:pPr>
        <w:spacing w:before="0" w:after="120"/>
      </w:pPr>
    </w:p>
    <w:p>
      <w:pPr>
        <w:keepNext/>
        <w:spacing w:before="200" w:after="40"/>
      </w:pPr>
      <w:r>
        <w:rPr>
          <w:rFonts w:ascii="Calibri" w:hAnsi="Calibri"/>
          <w:b/>
          <w:color w:val="0D5C75"/>
          <w:sz w:val="22"/>
        </w:rPr>
        <w:t>Table: sales_invoices (Sales &amp; Billing)</w:t>
      </w:r>
    </w:p>
    <w:p>
      <w:pPr>
        <w:spacing w:before="0" w:after="80" w:line="276" w:lineRule="auto"/>
      </w:pPr>
      <w:r>
        <w:rPr>
          <w:rFonts w:ascii="Calibri" w:hAnsi="Calibri"/>
          <w:color w:val="2C3E50"/>
          <w:sz w:val="20"/>
        </w:rPr>
        <w:t>Description: Statutory tax invoices issued to clients.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invoice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company_id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companies(id).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branch_id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branches(id).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client_id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clients(id). Client sub-ledger.</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project_id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projects(id). Revenue tagged project.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sales_order_id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sales_orders(id).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invoice_number</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Sequential tax invoice string (e.g. INV/26-27/0045).</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invoice_date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Invoice posting date.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due_date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Payment due date (based on credit days).</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place_of_supply</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VARCHAR(5)</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2-digit Indian State code determining IGST vs CGST/SGST.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is_reverse_charge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FALSE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Reverse charge flag.</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taxable_amount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Total net taxable base value.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cgst_amount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Central tax amount.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sgst_amount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State tax amount.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igst_amount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Integrated tax amount.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total_invoice_value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Grand total receivable amount.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paid_amount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Cumulative allocated receipts.</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outstanding_balance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Real-time remaining unpaid balance.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status</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'DRAFT'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DRAFT, APPROVED, SENT, PARTIALLY_PAID, PAID, OVERDUE, CANCELLED.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irn_number</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VARCHAR(64)</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Government E-Invoice Invoice Reference Number (IRN).</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qr_code_payload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TEXT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E-Invoice cryptographic signed QR payload.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journal_entry_id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journal_entries(id). Auto-posted GL voucher.</w:t>
            </w:r>
          </w:p>
        </w:tc>
      </w:tr>
    </w:tbl>
    <w:p>
      <w:pPr>
        <w:spacing w:before="0" w:after="120"/>
      </w:pPr>
    </w:p>
    <w:p>
      <w:pPr>
        <w:keepNext/>
        <w:spacing w:before="200" w:after="40"/>
      </w:pPr>
      <w:r>
        <w:rPr>
          <w:rFonts w:ascii="Calibri" w:hAnsi="Calibri"/>
          <w:b/>
          <w:color w:val="0D5C75"/>
          <w:sz w:val="22"/>
        </w:rPr>
        <w:t>Table: sales_invoice_items (Sales &amp; Billing)</w:t>
      </w:r>
    </w:p>
    <w:p>
      <w:pPr>
        <w:spacing w:before="0" w:after="80" w:line="276" w:lineRule="auto"/>
      </w:pPr>
      <w:r>
        <w:rPr>
          <w:rFonts w:ascii="Calibri" w:hAnsi="Calibri"/>
          <w:color w:val="2C3E50"/>
          <w:sz w:val="20"/>
        </w:rPr>
        <w:t>Description: Line-item deliverables and tax breakdowns for sales invoices.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line item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invoice_id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sales_invoices(id). Parent invoice header.</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item_description</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TEXT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Deliverable or service description.</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hsn_sac_code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VARCHAR(10)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HSN or SAC code.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quantity</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DECIMAL(10,2)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1.00</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Quantity billed.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unit_id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item_units(id).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unit_rate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Unit rate before taxes.</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discount_percent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Item-level discount percentage.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taxable_value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Net line taxable value.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tax_rate_id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tax_rates(id).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cgst_amount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Central tax.</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sgst_amount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State tax.</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igst_amount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Integrated tax.</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line_total</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Total line value including taxes.</w:t>
            </w:r>
          </w:p>
        </w:tc>
      </w:tr>
    </w:tbl>
    <w:p>
      <w:pPr>
        <w:spacing w:before="0" w:after="120"/>
      </w:pPr>
    </w:p>
    <w:p>
      <w:pPr>
        <w:keepNext/>
        <w:spacing w:before="200" w:after="40"/>
      </w:pPr>
      <w:r>
        <w:rPr>
          <w:rFonts w:ascii="Calibri" w:hAnsi="Calibri"/>
          <w:b/>
          <w:color w:val="0D5C75"/>
          <w:sz w:val="22"/>
        </w:rPr>
        <w:t>Table: customer_receipts (Sales &amp; Billing)</w:t>
      </w:r>
    </w:p>
    <w:p>
      <w:pPr>
        <w:spacing w:before="0" w:after="80" w:line="276" w:lineRule="auto"/>
      </w:pPr>
      <w:r>
        <w:rPr>
          <w:rFonts w:ascii="Calibri" w:hAnsi="Calibri"/>
          <w:color w:val="2C3E50"/>
          <w:sz w:val="20"/>
        </w:rPr>
        <w:t>Description: Client remittance vouchers received into bank or cash.</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receipt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company_id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companies(id).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client_id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clients(id). Remitting client.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bank_account_id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bank_accounts(id). Deposited bank account.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receipt_number</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Sequential receipt reference (e.g. RCT-2026-0082).</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receipt_date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Date remittance received in bank.</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amount_received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Total lump-sum payment received.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unallocated_amount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Remaining unallocated advance balance.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payment_mode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VARCHAR(30)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'NEFT'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NEFT, RTGS, IMPS, CHEQUE, UPI, CASH.</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transaction_ref_no</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VARCHAR(100)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Bank UTR number or Cheque number.</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status</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'POSTED'</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DRAFT, POSTED, REVERSED.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journal_entry_id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journal_entries(id). Linked GL voucher.</w:t>
            </w:r>
          </w:p>
        </w:tc>
      </w:tr>
    </w:tbl>
    <w:p>
      <w:pPr>
        <w:spacing w:before="0" w:after="120"/>
      </w:pPr>
    </w:p>
    <w:p>
      <w:pPr>
        <w:keepNext/>
        <w:spacing w:before="200" w:after="40"/>
      </w:pPr>
      <w:r>
        <w:rPr>
          <w:rFonts w:ascii="Calibri" w:hAnsi="Calibri"/>
          <w:b/>
          <w:color w:val="0D5C75"/>
          <w:sz w:val="22"/>
        </w:rPr>
        <w:t>Table: receipt_allocations (Sales &amp; Billing)</w:t>
      </w:r>
    </w:p>
    <w:p>
      <w:pPr>
        <w:spacing w:before="0" w:after="80" w:line="276" w:lineRule="auto"/>
      </w:pPr>
      <w:r>
        <w:rPr>
          <w:rFonts w:ascii="Calibri" w:hAnsi="Calibri"/>
          <w:color w:val="2C3E50"/>
          <w:sz w:val="20"/>
        </w:rPr>
        <w:t>Description: Splits single customer receipts across multiple invoices.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allocation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receipt_id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customer_receipts(id). Parent receipt.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invoice_id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sales_invoices(id). Settled invoice.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allocated_amount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Portion of receipt applied to this invoice.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tds_deducted_by_client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TDS receivable deducted by client.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cash_discount_allowed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Settlement discount granted.</w:t>
            </w:r>
          </w:p>
        </w:tc>
      </w:tr>
    </w:tbl>
    <w:p>
      <w:pPr>
        <w:spacing w:before="0" w:after="120"/>
      </w:pPr>
    </w:p>
    <w:p>
      <w:pPr>
        <w:keepNext/>
        <w:spacing w:before="200" w:after="40"/>
      </w:pPr>
      <w:r>
        <w:rPr>
          <w:rFonts w:ascii="Calibri" w:hAnsi="Calibri"/>
          <w:b/>
          <w:color w:val="0D5C75"/>
          <w:sz w:val="22"/>
        </w:rPr>
        <w:t>Table: credit_debit_notes (Sales &amp; Billing)</w:t>
      </w:r>
    </w:p>
    <w:p>
      <w:pPr>
        <w:spacing w:before="0" w:after="80" w:line="276" w:lineRule="auto"/>
      </w:pPr>
      <w:r>
        <w:rPr>
          <w:rFonts w:ascii="Calibri" w:hAnsi="Calibri"/>
          <w:color w:val="2C3E50"/>
          <w:sz w:val="20"/>
        </w:rPr>
        <w:t>Description: Adjustments and corrections for sales and purchase transactions.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company_id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companies(id).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note_type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CREDIT_NOTE or DEBIT_NOTE.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party_type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CLIENT (Outward) or VENDOR (Inward).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client_id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clients(id).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vendor_id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vendors(id).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original_invoice_id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sales_invoices(id).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original_purchase_bill_id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purchase_bills(id).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note_number</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Note serial number (e.g. CN-2026-0012).</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note_date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Posting date.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taxable_amount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Taxable adjustment value.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gst_amount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GST adjustment value.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total_amount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Total note value.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reason</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TEXT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Statutory reason for note issuance.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journal_entry_id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journal_entries(id).</w:t>
            </w:r>
          </w:p>
        </w:tc>
      </w:tr>
    </w:tbl>
    <w:p>
      <w:pPr>
        <w:spacing w:before="0" w:after="120"/>
      </w:pPr>
    </w:p>
    <w:p>
      <w:pPr>
        <w:keepNext/>
        <w:spacing w:before="280" w:after="80"/>
      </w:pPr>
      <w:r>
        <w:rPr>
          <w:rFonts w:ascii="Calibri" w:hAnsi="Calibri"/>
          <w:b/>
          <w:color w:val="2B547E"/>
          <w:sz w:val="25"/>
        </w:rPr>
        <w:t>8.5 Domain 5: Procurement, Payables &amp; Vendor Management Tables</w:t>
      </w:r>
    </w:p>
    <w:p>
      <w:pPr>
        <w:keepNext/>
        <w:spacing w:before="200" w:after="40"/>
      </w:pPr>
      <w:r>
        <w:rPr>
          <w:rFonts w:ascii="Calibri" w:hAnsi="Calibri"/>
          <w:b/>
          <w:color w:val="0D5C75"/>
          <w:sz w:val="22"/>
        </w:rPr>
        <w:t>Table: purchase_requisitions (Procurement)</w:t>
      </w:r>
    </w:p>
    <w:p>
      <w:pPr>
        <w:spacing w:before="0" w:after="80" w:line="276" w:lineRule="auto"/>
      </w:pPr>
      <w:r>
        <w:rPr>
          <w:rFonts w:ascii="Calibri" w:hAnsi="Calibri"/>
          <w:color w:val="2C3E50"/>
          <w:sz w:val="20"/>
        </w:rPr>
        <w:t>Description: Internal requests to purchase materials or services.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requisition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company_id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companies(id).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pr_number</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Sequential PR string (e.g. PR-2026-0094).</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requested_by_user_id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users(id). Staff requester.</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department_id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item_categories(id) or departments.</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project_id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projects(id) if project-specific procurement.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purpose_type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VARCHAR(30)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'OFFICE_USE'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OFFICE_USE, PROJECT_PROCUREMENT, REPAIR.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required_by_date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Needed delivery date.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status</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'DRAFT'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DRAFT, PENDING_APPROVAL, APPROVED, REJECTED, PO_CREATED.</w:t>
            </w:r>
          </w:p>
        </w:tc>
      </w:tr>
    </w:tbl>
    <w:p>
      <w:pPr>
        <w:spacing w:before="0" w:after="120"/>
      </w:pPr>
    </w:p>
    <w:p>
      <w:pPr>
        <w:keepNext/>
        <w:spacing w:before="200" w:after="40"/>
      </w:pPr>
      <w:r>
        <w:rPr>
          <w:rFonts w:ascii="Calibri" w:hAnsi="Calibri"/>
          <w:b/>
          <w:color w:val="0D5C75"/>
          <w:sz w:val="22"/>
        </w:rPr>
        <w:t>Table: purchase_requisition_items (Procurement)</w:t>
      </w:r>
    </w:p>
    <w:p>
      <w:pPr>
        <w:spacing w:before="0" w:after="80" w:line="276" w:lineRule="auto"/>
      </w:pPr>
      <w:r>
        <w:rPr>
          <w:rFonts w:ascii="Calibri" w:hAnsi="Calibri"/>
          <w:color w:val="2C3E50"/>
          <w:sz w:val="20"/>
        </w:rPr>
        <w:t>Description: Line-item breakdown of requested materials.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line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pr_id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purchase_requisitions(id).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item_id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items(id) if standard consumable item.</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item_description</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TEXT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Detailed description.</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requested_qty</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DECIMAL(10,2)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Quantity needed.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unit_id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item_units(id).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estimated_cost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DECIMAL(12,2)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Estimated unit rate.</w:t>
            </w:r>
          </w:p>
        </w:tc>
      </w:tr>
    </w:tbl>
    <w:p>
      <w:pPr>
        <w:spacing w:before="0" w:after="120"/>
      </w:pPr>
    </w:p>
    <w:p>
      <w:pPr>
        <w:keepNext/>
        <w:spacing w:before="200" w:after="40"/>
      </w:pPr>
      <w:r>
        <w:rPr>
          <w:rFonts w:ascii="Calibri" w:hAnsi="Calibri"/>
          <w:b/>
          <w:color w:val="0D5C75"/>
          <w:sz w:val="22"/>
        </w:rPr>
        <w:t>Table: purchase_orders (Procurement)</w:t>
      </w:r>
    </w:p>
    <w:p>
      <w:pPr>
        <w:spacing w:before="0" w:after="80" w:line="276" w:lineRule="auto"/>
      </w:pPr>
      <w:r>
        <w:rPr>
          <w:rFonts w:ascii="Calibri" w:hAnsi="Calibri"/>
          <w:color w:val="2C3E50"/>
          <w:sz w:val="20"/>
        </w:rPr>
        <w:t>Description: Legally binding purchase contracts issued to vendors.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PO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company_id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companies(id).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branch_id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branches(id).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vendor_id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vendors(id). Selected vendor.</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project_id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projects(id) if cost charged to project.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pr_id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purchase_requisitions(id).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po_number</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Sequential PO string (e.g. PO-2026-0156).</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po_date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Order placement date.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delivery_due_date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Agreed vendor delivery date.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taxable_amount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Total order taxable base.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gst_amount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Estimated GST amount.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total_po_value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Total order monetary commitment.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approval_status</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'DRAFT'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DRAFT, PENDING_APPROVAL, APPROVED, ORDERED, CLOSED, CANCELLED.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approved_by</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users(id) who authorized PO.</w:t>
            </w:r>
          </w:p>
        </w:tc>
      </w:tr>
    </w:tbl>
    <w:p>
      <w:pPr>
        <w:spacing w:before="0" w:after="120"/>
      </w:pPr>
    </w:p>
    <w:p>
      <w:pPr>
        <w:keepNext/>
        <w:spacing w:before="200" w:after="40"/>
      </w:pPr>
      <w:r>
        <w:rPr>
          <w:rFonts w:ascii="Calibri" w:hAnsi="Calibri"/>
          <w:b/>
          <w:color w:val="0D5C75"/>
          <w:sz w:val="22"/>
        </w:rPr>
        <w:t>Table: purchase_order_items (Procurement)</w:t>
      </w:r>
    </w:p>
    <w:p>
      <w:pPr>
        <w:spacing w:before="0" w:after="80" w:line="276" w:lineRule="auto"/>
      </w:pPr>
      <w:r>
        <w:rPr>
          <w:rFonts w:ascii="Calibri" w:hAnsi="Calibri"/>
          <w:color w:val="2C3E50"/>
          <w:sz w:val="20"/>
        </w:rPr>
        <w:t>Description: Line-item specifications for purchase orders.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line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po_id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purchase_orders(id).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item_id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items(id).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item_description</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TEXT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Item or service specification.</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hsn_sac_code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VARCHAR(10)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Vendor HSN/SAC code.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ordered_qty</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DECIMAL(10,2)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Total quantity ordered.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received_qty</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DECIMAL(10,2)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Cumulative quantity received via GRNs.</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unit_id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item_units(id).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unit_rate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Agreed purchase unit rate.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tax_rate_id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tax_rates(id).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line_total</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Total line item cost including GST.</w:t>
            </w:r>
          </w:p>
        </w:tc>
      </w:tr>
    </w:tbl>
    <w:p>
      <w:pPr>
        <w:spacing w:before="0" w:after="120"/>
      </w:pPr>
    </w:p>
    <w:p>
      <w:pPr>
        <w:keepNext/>
        <w:spacing w:before="200" w:after="40"/>
      </w:pPr>
      <w:r>
        <w:rPr>
          <w:rFonts w:ascii="Calibri" w:hAnsi="Calibri"/>
          <w:b/>
          <w:color w:val="0D5C75"/>
          <w:sz w:val="22"/>
        </w:rPr>
        <w:t>Table: goods_receipt_notes (Procurement)</w:t>
      </w:r>
    </w:p>
    <w:p>
      <w:pPr>
        <w:spacing w:before="0" w:after="80" w:line="276" w:lineRule="auto"/>
      </w:pPr>
      <w:r>
        <w:rPr>
          <w:rFonts w:ascii="Calibri" w:hAnsi="Calibri"/>
          <w:color w:val="2C3E50"/>
          <w:sz w:val="20"/>
        </w:rPr>
        <w:t>Description: Goods Receipt Notes (GRN) for physical material inspection.</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GRN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po_id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purchase_orders(id).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grn_number</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Sequential GRN string (e.g. GRN-2026-0077).</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receipt_date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Date materials received at premises.</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vendor_dc_number</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Vendor's delivery challan / invoice number.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received_by_user_id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users(id). Storekeeper.</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inspection_status</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'ACCEPTED'</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ACCEPTED, REJECTED, PARTIAL_ACCEPT.</w:t>
            </w:r>
          </w:p>
        </w:tc>
      </w:tr>
    </w:tbl>
    <w:p>
      <w:pPr>
        <w:spacing w:before="0" w:after="120"/>
      </w:pPr>
    </w:p>
    <w:p>
      <w:pPr>
        <w:keepNext/>
        <w:spacing w:before="200" w:after="40"/>
      </w:pPr>
      <w:r>
        <w:rPr>
          <w:rFonts w:ascii="Calibri" w:hAnsi="Calibri"/>
          <w:b/>
          <w:color w:val="0D5C75"/>
          <w:sz w:val="22"/>
        </w:rPr>
        <w:t>Table: grn_items (Procurement)</w:t>
      </w:r>
    </w:p>
    <w:p>
      <w:pPr>
        <w:spacing w:before="0" w:after="80" w:line="276" w:lineRule="auto"/>
      </w:pPr>
      <w:r>
        <w:rPr>
          <w:rFonts w:ascii="Calibri" w:hAnsi="Calibri"/>
          <w:color w:val="2C3E50"/>
          <w:sz w:val="20"/>
        </w:rPr>
        <w:t>Description: Quantity verification for goods received.</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line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grn_id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goods_receipt_notes(id).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po_item_id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purchase_order_items(id).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item_id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items(id).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received_qty</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DECIMAL(10,2)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Total quantity physically received.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accepted_qty</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DECIMAL(10,2)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Quantity passed QC into stock.</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rejected_qty</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DECIMAL(10,2)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Defective quantity rejected.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rejection_reason</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VARCHAR(255)</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Reason for rejection if any.</w:t>
            </w:r>
          </w:p>
        </w:tc>
      </w:tr>
    </w:tbl>
    <w:p>
      <w:pPr>
        <w:spacing w:before="0" w:after="120"/>
      </w:pPr>
    </w:p>
    <w:p>
      <w:pPr>
        <w:keepNext/>
        <w:spacing w:before="200" w:after="40"/>
      </w:pPr>
      <w:r>
        <w:rPr>
          <w:rFonts w:ascii="Calibri" w:hAnsi="Calibri"/>
          <w:b/>
          <w:color w:val="0D5C75"/>
          <w:sz w:val="22"/>
        </w:rPr>
        <w:t>Table: purchase_bills (Procurement)</w:t>
      </w:r>
    </w:p>
    <w:p>
      <w:pPr>
        <w:spacing w:before="0" w:after="80" w:line="276" w:lineRule="auto"/>
      </w:pPr>
      <w:r>
        <w:rPr>
          <w:rFonts w:ascii="Calibri" w:hAnsi="Calibri"/>
          <w:color w:val="2C3E50"/>
          <w:sz w:val="20"/>
        </w:rPr>
        <w:t>Description: Vendor tax bills representing Accounts Payable liabilities.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bill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company_id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companies(id).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vendor_id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vendors(id). Vendor sub-ledger.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po_id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purchase_orders(id).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project_id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projects(id) if project expense.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vendor_bill_number</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Vendor's official invoice number.</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bill_date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Date on vendor invoice.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due_date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Payment due date.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place_of_supply</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VARCHAR(5)</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State code.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taxable_amount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Taxable purchases base.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cgst_amount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Input CGST.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sgst_amount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Input SGST.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igst_amount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Input IGST.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total_bill_amount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Total payable liability.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paid_amount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Cumulative payments allocated.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balance_due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Remaining unpaid vendor balance.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status</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'UNPAID'</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UNPAID, PARTIALLY_PAID, PAID, CANCELLED.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journal_entry_id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journal_entries(id). Auto-posted AP voucher.</w:t>
            </w:r>
          </w:p>
        </w:tc>
      </w:tr>
    </w:tbl>
    <w:p>
      <w:pPr>
        <w:spacing w:before="0" w:after="120"/>
      </w:pPr>
    </w:p>
    <w:p>
      <w:pPr>
        <w:keepNext/>
        <w:spacing w:before="200" w:after="40"/>
      </w:pPr>
      <w:r>
        <w:rPr>
          <w:rFonts w:ascii="Calibri" w:hAnsi="Calibri"/>
          <w:b/>
          <w:color w:val="0D5C75"/>
          <w:sz w:val="22"/>
        </w:rPr>
        <w:t>Table: purchase_bill_items (Procurement)</w:t>
      </w:r>
    </w:p>
    <w:p>
      <w:pPr>
        <w:spacing w:before="0" w:after="80" w:line="276" w:lineRule="auto"/>
      </w:pPr>
      <w:r>
        <w:rPr>
          <w:rFonts w:ascii="Calibri" w:hAnsi="Calibri"/>
          <w:color w:val="2C3E50"/>
          <w:sz w:val="20"/>
        </w:rPr>
        <w:t>Description: Line-item accounting breakdown for vendor bills.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line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purchase_bill_id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purchase_bills(id).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expense_account_id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chart_of_accounts(id). Debit ledger head.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item_id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items(id).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item_description</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TEXT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Description.</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hsn_sac_code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VARCHAR(10)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HSN/SAC code.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taxable_amount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Taxable base.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tax_rate_id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tax_rates(id).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gst_amount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Input tax.</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total_amount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Line total.</w:t>
            </w:r>
          </w:p>
        </w:tc>
      </w:tr>
    </w:tbl>
    <w:p>
      <w:pPr>
        <w:spacing w:before="0" w:after="120"/>
      </w:pPr>
    </w:p>
    <w:p>
      <w:pPr>
        <w:keepNext/>
        <w:spacing w:before="200" w:after="40"/>
      </w:pPr>
      <w:r>
        <w:rPr>
          <w:rFonts w:ascii="Calibri" w:hAnsi="Calibri"/>
          <w:b/>
          <w:color w:val="0D5C75"/>
          <w:sz w:val="22"/>
        </w:rPr>
        <w:t>Table: vendor_payments (Procurement)</w:t>
      </w:r>
    </w:p>
    <w:p>
      <w:pPr>
        <w:spacing w:before="0" w:after="80" w:line="276" w:lineRule="auto"/>
      </w:pPr>
      <w:r>
        <w:rPr>
          <w:rFonts w:ascii="Calibri" w:hAnsi="Calibri"/>
          <w:color w:val="2C3E50"/>
          <w:sz w:val="20"/>
        </w:rPr>
        <w:t>Description: Disbursement payment vouchers issued to suppliers.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payment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company_id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companies(id).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vendor_id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vendors(id). Vendor sub-ledger.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bank_account_id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bank_accounts(id). Source bank account.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payment_voucher_no</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Payment voucher number (e.g. PV-2026-0091).</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payment_date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Disbursement date.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total_amount_paid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Total disbursed amount.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payment_mode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VARCHAR(30)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'NEFT'</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NEFT, RTGS, IMPS, CHEQUE, UPI.</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cheque_utr_no</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VARCHAR(100)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Bank UTR transaction ID or Cheque number.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status</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'PROCESSED'</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PENDING_APPROVAL, APPROVED, PROCESSED, REVERSED.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journal_entry_id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journal_entries(id). Auto-posted GL voucher.</w:t>
            </w:r>
          </w:p>
        </w:tc>
      </w:tr>
    </w:tbl>
    <w:p>
      <w:pPr>
        <w:spacing w:before="0" w:after="120"/>
      </w:pPr>
    </w:p>
    <w:p>
      <w:pPr>
        <w:keepNext/>
        <w:spacing w:before="200" w:after="40"/>
      </w:pPr>
      <w:r>
        <w:rPr>
          <w:rFonts w:ascii="Calibri" w:hAnsi="Calibri"/>
          <w:b/>
          <w:color w:val="0D5C75"/>
          <w:sz w:val="22"/>
        </w:rPr>
        <w:t>Table: vendor_payment_allocations (Procurement)</w:t>
      </w:r>
    </w:p>
    <w:p>
      <w:pPr>
        <w:spacing w:before="0" w:after="80" w:line="276" w:lineRule="auto"/>
      </w:pPr>
      <w:r>
        <w:rPr>
          <w:rFonts w:ascii="Calibri" w:hAnsi="Calibri"/>
          <w:color w:val="2C3E50"/>
          <w:sz w:val="20"/>
        </w:rPr>
        <w:t>Description: Maps single payment vouchers to multiple vendor bills.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allocation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vendor_payment_id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vendor_payments(id).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purchase_bill_id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purchase_bills(id).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allocated_amount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Amount applied to settle this bill.</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tds_deducted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Statutory TDS deducted under Section 194C/194J.</w:t>
            </w:r>
          </w:p>
        </w:tc>
      </w:tr>
    </w:tbl>
    <w:p>
      <w:pPr>
        <w:spacing w:before="0" w:after="120"/>
      </w:pPr>
    </w:p>
    <w:p>
      <w:pPr>
        <w:keepNext/>
        <w:spacing w:before="280" w:after="80"/>
      </w:pPr>
      <w:r>
        <w:rPr>
          <w:rFonts w:ascii="Calibri" w:hAnsi="Calibri"/>
          <w:b/>
          <w:color w:val="2B547E"/>
          <w:sz w:val="25"/>
        </w:rPr>
        <w:t>8.6 Domain 6: Office Consumables Inventory Tables</w:t>
      </w:r>
    </w:p>
    <w:p>
      <w:pPr>
        <w:keepNext/>
        <w:spacing w:before="200" w:after="40"/>
      </w:pPr>
      <w:r>
        <w:rPr>
          <w:rFonts w:ascii="Calibri" w:hAnsi="Calibri"/>
          <w:b/>
          <w:color w:val="0D5C75"/>
          <w:sz w:val="22"/>
        </w:rPr>
        <w:t>Table: stock_transactions (Office Inventory)</w:t>
      </w:r>
    </w:p>
    <w:p>
      <w:pPr>
        <w:spacing w:before="0" w:after="80" w:line="276" w:lineRule="auto"/>
      </w:pPr>
      <w:r>
        <w:rPr>
          <w:rFonts w:ascii="Calibri" w:hAnsi="Calibri"/>
          <w:color w:val="2C3E50"/>
          <w:sz w:val="20"/>
        </w:rPr>
        <w:t>Description: Master perpetual stock ledger for internal office consumables.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transaction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company_id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companies(id).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item_id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items(id). Consumable item.</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transaction_date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Movement date.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transaction_type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STOCK_IN (GRN), STOCK_OUT (Issue), ADJUSTMENT, TRANSFER.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reference_type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GRN, INTERNAL_ISSUE, STOCK_AUDIT.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reference_id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key of source document.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quantity</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DECIMAL(10,2)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Quantity moved (positive for In, negative for Out).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unit_cost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DECIMAL(12,2)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Cost rate applied.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balance_qty_after</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DECIMAL(10,2)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Perpetual running stock balance.</w:t>
            </w:r>
          </w:p>
        </w:tc>
      </w:tr>
    </w:tbl>
    <w:p>
      <w:pPr>
        <w:spacing w:before="0" w:after="120"/>
      </w:pPr>
    </w:p>
    <w:p>
      <w:pPr>
        <w:keepNext/>
        <w:spacing w:before="200" w:after="40"/>
      </w:pPr>
      <w:r>
        <w:rPr>
          <w:rFonts w:ascii="Calibri" w:hAnsi="Calibri"/>
          <w:b/>
          <w:color w:val="0D5C75"/>
          <w:sz w:val="22"/>
        </w:rPr>
        <w:t>Table: stock_issues (Office Inventory)</w:t>
      </w:r>
    </w:p>
    <w:p>
      <w:pPr>
        <w:spacing w:before="0" w:after="80" w:line="276" w:lineRule="auto"/>
      </w:pPr>
      <w:r>
        <w:rPr>
          <w:rFonts w:ascii="Calibri" w:hAnsi="Calibri"/>
          <w:color w:val="2C3E50"/>
          <w:sz w:val="20"/>
        </w:rPr>
        <w:t>Description: Records internal consumption of office supplies by staff/departments.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issue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issue_voucher_no</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Issue slip reference (e.g. ISS-2026-0045).</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issue_date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Date supplies issued.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item_id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items(id).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quantity_issued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DECIMAL(10,2)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Quantity issued.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issued_to_employee_id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employees(id). Custodian staff.</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department_id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item_categories(id). Consuming department.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purpose_remarks</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VARCHAR(255)</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'OFFICE_USE'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Consumption purpose notes.</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approved_by</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users(id). Department head approval.</w:t>
            </w:r>
          </w:p>
        </w:tc>
      </w:tr>
    </w:tbl>
    <w:p>
      <w:pPr>
        <w:spacing w:before="0" w:after="120"/>
      </w:pPr>
    </w:p>
    <w:p>
      <w:pPr>
        <w:keepNext/>
        <w:spacing w:before="280" w:after="80"/>
      </w:pPr>
      <w:r>
        <w:rPr>
          <w:rFonts w:ascii="Calibri" w:hAnsi="Calibri"/>
          <w:b/>
          <w:color w:val="2B547E"/>
          <w:sz w:val="25"/>
        </w:rPr>
        <w:t>8.7 Domain 7: Financial Accounting, Ledgers &amp; General Ledger Tables</w:t>
      </w:r>
    </w:p>
    <w:p>
      <w:pPr>
        <w:keepNext/>
        <w:spacing w:before="200" w:after="40"/>
      </w:pPr>
      <w:r>
        <w:rPr>
          <w:rFonts w:ascii="Calibri" w:hAnsi="Calibri"/>
          <w:b/>
          <w:color w:val="0D5C75"/>
          <w:sz w:val="22"/>
        </w:rPr>
        <w:t>Table: financial_years (Financial Accounting)</w:t>
      </w:r>
    </w:p>
    <w:p>
      <w:pPr>
        <w:spacing w:before="0" w:after="80" w:line="276" w:lineRule="auto"/>
      </w:pPr>
      <w:r>
        <w:rPr>
          <w:rFonts w:ascii="Calibri" w:hAnsi="Calibri"/>
          <w:color w:val="2C3E50"/>
          <w:sz w:val="20"/>
        </w:rPr>
        <w:t>Description: Fiscal year calendar cycles and accounting period locks.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fiscal year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company_id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companies(id).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fy_code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VARCHAR(10)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e.g. FY-2026-27.</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start_date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Start date (e.g. 2026-04-01).</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end_date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End date (e.g. 2027-03-31).</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is_closed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FALSE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True when year-end audit closing is finalized.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closed_at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TIMESTAMP</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Closing timestamp.</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closed_by</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users(id) who executed year-end lock.</w:t>
            </w:r>
          </w:p>
        </w:tc>
      </w:tr>
    </w:tbl>
    <w:p>
      <w:pPr>
        <w:spacing w:before="0" w:after="120"/>
      </w:pPr>
    </w:p>
    <w:p>
      <w:pPr>
        <w:keepNext/>
        <w:spacing w:before="200" w:after="40"/>
      </w:pPr>
      <w:r>
        <w:rPr>
          <w:rFonts w:ascii="Calibri" w:hAnsi="Calibri"/>
          <w:b/>
          <w:color w:val="0D5C75"/>
          <w:sz w:val="22"/>
        </w:rPr>
        <w:t>Table: account_groups (Financial Accounting)</w:t>
      </w:r>
    </w:p>
    <w:p>
      <w:pPr>
        <w:spacing w:before="0" w:after="80" w:line="276" w:lineRule="auto"/>
      </w:pPr>
      <w:r>
        <w:rPr>
          <w:rFonts w:ascii="Calibri" w:hAnsi="Calibri"/>
          <w:color w:val="2C3E50"/>
          <w:sz w:val="20"/>
        </w:rPr>
        <w:t>Description: Chart of Accounts hierarchical grouping structure.</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group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group_code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e.g. 1000 (Assets), 2000 (Liabilities), 3000 (Equity), 4000 (Revenue), 5000 (Expenses).</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group_name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VARCHAR(100)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Group display name (e.g. Current Assets, Direct Expenses).</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account_category</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ASSET, LIABILITY, EQUITY, REVENUE, EXPENSE.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parent_group_id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account_groups(id) for nested sub-groups.</w:t>
            </w:r>
          </w:p>
        </w:tc>
      </w:tr>
    </w:tbl>
    <w:p>
      <w:pPr>
        <w:spacing w:before="0" w:after="120"/>
      </w:pPr>
    </w:p>
    <w:p>
      <w:pPr>
        <w:keepNext/>
        <w:spacing w:before="200" w:after="40"/>
      </w:pPr>
      <w:r>
        <w:rPr>
          <w:rFonts w:ascii="Calibri" w:hAnsi="Calibri"/>
          <w:b/>
          <w:color w:val="0D5C75"/>
          <w:sz w:val="22"/>
        </w:rPr>
        <w:t>Table: chart_of_accounts (Financial Accounting)</w:t>
      </w:r>
    </w:p>
    <w:p>
      <w:pPr>
        <w:spacing w:before="0" w:after="80" w:line="276" w:lineRule="auto"/>
      </w:pPr>
      <w:r>
        <w:rPr>
          <w:rFonts w:ascii="Calibri" w:hAnsi="Calibri"/>
          <w:color w:val="2C3E50"/>
          <w:sz w:val="20"/>
        </w:rPr>
        <w:t>Description: General Ledger master account definitions.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GL account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company_id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companies(id).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account_code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VARCHAR(30)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Account GL code (e.g. 1001-01 HDFC Bank Current A/c).</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account_name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VARCHAR(150)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Official ledger name.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group_id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account_groups(id).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opening_balance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Opening balance at fiscal year inception.</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opening_balance_type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'DR'</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DR (Debit) or CR (Credit).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current_balance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Real-time net ledger balance.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is_system_account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FALSE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Protected system account (e.g. Retained Earnings, GST Output).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is_active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TRUE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Active posting status.</w:t>
            </w:r>
          </w:p>
        </w:tc>
      </w:tr>
    </w:tbl>
    <w:p>
      <w:pPr>
        <w:spacing w:before="0" w:after="120"/>
      </w:pPr>
    </w:p>
    <w:p>
      <w:pPr>
        <w:keepNext/>
        <w:spacing w:before="200" w:after="40"/>
      </w:pPr>
      <w:r>
        <w:rPr>
          <w:rFonts w:ascii="Calibri" w:hAnsi="Calibri"/>
          <w:b/>
          <w:color w:val="0D5C75"/>
          <w:sz w:val="22"/>
        </w:rPr>
        <w:t>Table: journal_entries (Financial Accounting)</w:t>
      </w:r>
    </w:p>
    <w:p>
      <w:pPr>
        <w:spacing w:before="0" w:after="80" w:line="276" w:lineRule="auto"/>
      </w:pPr>
      <w:r>
        <w:rPr>
          <w:rFonts w:ascii="Calibri" w:hAnsi="Calibri"/>
          <w:color w:val="2C3E50"/>
          <w:sz w:val="20"/>
        </w:rPr>
        <w:t>Description: Master journal voucher header records.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voucher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company_id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companies(id).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branch_id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branches(id).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fy_id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financial_years(id).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voucher_no</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Sequential voucher string (e.g. JV-2026-00341).</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voucher_date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Accounting effective date.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voucher_type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VARCHAR(30)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SALES, PURCHASE, RECEIPT, PAYMENT, CONTRA, JOURNAL.</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source_entity_type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sales_invoices, purchase_bills, customer_receipts, payroll_runs.</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source_entity_id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key of triggering source document.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project_id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projects(id) if project revenue/cost.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narration</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TEXT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Detailed accounting transaction narration.</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total_debit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Total debit sum (must exactly equal total_credit).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total_credit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Total credit sum (must exactly equal total_debit).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is_balanced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TRUE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Integrity check: total_debit == total_credit.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is_reversal</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FALSE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True if this entry reverses a cancelled voucher.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created_by</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users(id).</w:t>
            </w:r>
          </w:p>
        </w:tc>
      </w:tr>
    </w:tbl>
    <w:p>
      <w:pPr>
        <w:spacing w:before="0" w:after="120"/>
      </w:pPr>
    </w:p>
    <w:p>
      <w:pPr>
        <w:keepNext/>
        <w:spacing w:before="200" w:after="40"/>
      </w:pPr>
      <w:r>
        <w:rPr>
          <w:rFonts w:ascii="Calibri" w:hAnsi="Calibri"/>
          <w:b/>
          <w:color w:val="0D5C75"/>
          <w:sz w:val="22"/>
        </w:rPr>
        <w:t>Table: journal_lines (Financial Accounting)</w:t>
      </w:r>
    </w:p>
    <w:p>
      <w:pPr>
        <w:spacing w:before="0" w:after="80" w:line="276" w:lineRule="auto"/>
      </w:pPr>
      <w:r>
        <w:rPr>
          <w:rFonts w:ascii="Calibri" w:hAnsi="Calibri"/>
          <w:color w:val="2C3E50"/>
          <w:sz w:val="20"/>
        </w:rPr>
        <w:t>Description: Individual balanced debit and credit ledger lines.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line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journal_entry_id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journal_entries(id). Parent voucher.</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account_id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chart_of_accounts(id). Impacted GL account.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debit_amount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Debit amount (0.00 if credit).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credit_amount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Credit amount (0.00 if debit).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client_id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clients(id) if Accounts Receivable sub-ledger.</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vendor_id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vendors(id) if Accounts Payable sub-ledger.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line_narration</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VARCHAR(255)</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Line-specific item remarks.</w:t>
            </w:r>
          </w:p>
        </w:tc>
      </w:tr>
    </w:tbl>
    <w:p>
      <w:pPr>
        <w:spacing w:before="0" w:after="120"/>
      </w:pPr>
    </w:p>
    <w:p>
      <w:pPr>
        <w:keepNext/>
        <w:spacing w:before="280" w:after="80"/>
      </w:pPr>
      <w:r>
        <w:rPr>
          <w:rFonts w:ascii="Calibri" w:hAnsi="Calibri"/>
          <w:b/>
          <w:color w:val="2B547E"/>
          <w:sz w:val="25"/>
        </w:rPr>
        <w:t>8.8 Domain 8: GST Compliance, Tax Engines &amp; ITC Tables</w:t>
      </w:r>
    </w:p>
    <w:p>
      <w:pPr>
        <w:keepNext/>
        <w:spacing w:before="200" w:after="40"/>
      </w:pPr>
      <w:r>
        <w:rPr>
          <w:rFonts w:ascii="Calibri" w:hAnsi="Calibri"/>
          <w:b/>
          <w:color w:val="0D5C75"/>
          <w:sz w:val="22"/>
        </w:rPr>
        <w:t>Table: gst_transactions (GST &amp; Tax)</w:t>
      </w:r>
    </w:p>
    <w:p>
      <w:pPr>
        <w:spacing w:before="0" w:after="80" w:line="276" w:lineRule="auto"/>
      </w:pPr>
      <w:r>
        <w:rPr>
          <w:rFonts w:ascii="Calibri" w:hAnsi="Calibri"/>
          <w:color w:val="2C3E50"/>
          <w:sz w:val="20"/>
        </w:rPr>
        <w:t>Description: Granular audit log of all outward and inward GST liabilities.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tax transaction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company_id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companies(id).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voucher_id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journal_entries(id).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transaction_type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OUTWARD (Sales), INWARD (Purchase), RCM, CREDIT_NOTE.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party_gstin</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VARCHAR(15)</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Client or Vendor GSTIN.</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place_of_supply</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VARCHAR(5)</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State code.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hsn_sac_code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VARCHAR(10)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HSN/SAC code.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taxable_value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Taxable base value.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tax_rate_percentage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Applicable tax rate (e.g. 18.00).</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cgst_amount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Central GST.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sgst_amount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State GST.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igst_amount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Integrated GST.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return_period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VARCHAR(7)</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Filing tax month (e.g. 09-2026).</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is_filed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FALSE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True when return filing is completed.</w:t>
            </w:r>
          </w:p>
        </w:tc>
      </w:tr>
    </w:tbl>
    <w:p>
      <w:pPr>
        <w:spacing w:before="0" w:after="120"/>
      </w:pPr>
    </w:p>
    <w:p>
      <w:pPr>
        <w:keepNext/>
        <w:spacing w:before="200" w:after="40"/>
      </w:pPr>
      <w:r>
        <w:rPr>
          <w:rFonts w:ascii="Calibri" w:hAnsi="Calibri"/>
          <w:b/>
          <w:color w:val="0D5C75"/>
          <w:sz w:val="22"/>
        </w:rPr>
        <w:t>Table: gst_reconciliations (GST &amp; Tax)</w:t>
      </w:r>
    </w:p>
    <w:p>
      <w:pPr>
        <w:spacing w:before="0" w:after="80" w:line="276" w:lineRule="auto"/>
      </w:pPr>
      <w:r>
        <w:rPr>
          <w:rFonts w:ascii="Calibri" w:hAnsi="Calibri"/>
          <w:color w:val="2C3E50"/>
          <w:sz w:val="20"/>
        </w:rPr>
        <w:t>Description: Monthly GSTR-2B vs Purchase Register ITC reconciliation ledger.</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reconciliation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financial_period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VARCHAR(7)</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Tax period (e.g. 09-2026).</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portal_gstr2b_invoice_no</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Invoice number from GSTR-2B JSON.</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portal_vendor_gstin</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VARCHAR(15)</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Supplier GSTIN on portal.</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portal_taxable_value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Taxable value on portal.</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portal_tax_amount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Total tax on portal.</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internal_purchase_bill_id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purchase_bills(id) matched in ERP.</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internal_taxable_value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Taxable value recorded in ERP books.</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match_status</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VARCHAR(30)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MATCHED, TAX_MISMATCH, MISSING_IN_BOOKS, MISSING_IN_PORTAL.</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itc_eligibility</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'ELIGIBLE'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ELIGIBLE, INELIGIBLE_RULE_38, BLOCKED_17_5.</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reconciled_by</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users(id).</w:t>
            </w:r>
          </w:p>
        </w:tc>
      </w:tr>
    </w:tbl>
    <w:p>
      <w:pPr>
        <w:spacing w:before="0" w:after="120"/>
      </w:pPr>
    </w:p>
    <w:p>
      <w:pPr>
        <w:keepNext/>
        <w:spacing w:before="280" w:after="80"/>
      </w:pPr>
      <w:r>
        <w:rPr>
          <w:rFonts w:ascii="Calibri" w:hAnsi="Calibri"/>
          <w:b/>
          <w:color w:val="2B547E"/>
          <w:sz w:val="25"/>
        </w:rPr>
        <w:t>8.9 Domain 9: Cash &amp; Banking Management Tables</w:t>
      </w:r>
    </w:p>
    <w:p>
      <w:pPr>
        <w:keepNext/>
        <w:spacing w:before="200" w:after="40"/>
      </w:pPr>
      <w:r>
        <w:rPr>
          <w:rFonts w:ascii="Calibri" w:hAnsi="Calibri"/>
          <w:b/>
          <w:color w:val="0D5C75"/>
          <w:sz w:val="22"/>
        </w:rPr>
        <w:t>Table: bank_accounts (Cash &amp; Bank)</w:t>
      </w:r>
    </w:p>
    <w:p>
      <w:pPr>
        <w:spacing w:before="0" w:after="80" w:line="276" w:lineRule="auto"/>
      </w:pPr>
      <w:r>
        <w:rPr>
          <w:rFonts w:ascii="Calibri" w:hAnsi="Calibri"/>
          <w:color w:val="2C3E50"/>
          <w:sz w:val="20"/>
        </w:rPr>
        <w:t>Description: Corporate bank accounts and cash books.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bank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company_id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companies(id).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gl_account_id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chart_of_accounts(id). Linked GL account.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bank_name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VARCHAR(100)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Bank name (e.g. HDFC Bank, ICICI Bank, State Bank of India).</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branch_name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VARCHAR(100)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Bank branch location.</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account_number</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Bank account number.</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ifsc_code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11-character IFSC code.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account_type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VARCHAR(30)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'CURRENT'</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CURRENT, SAVINGS, OVERDRAFT, PETTY_CASH.</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book_balance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Current computed ledger balance.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is_active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TRUE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Active status flag.</w:t>
            </w:r>
          </w:p>
        </w:tc>
      </w:tr>
    </w:tbl>
    <w:p>
      <w:pPr>
        <w:spacing w:before="0" w:after="120"/>
      </w:pPr>
    </w:p>
    <w:p>
      <w:pPr>
        <w:keepNext/>
        <w:spacing w:before="200" w:after="40"/>
      </w:pPr>
      <w:r>
        <w:rPr>
          <w:rFonts w:ascii="Calibri" w:hAnsi="Calibri"/>
          <w:b/>
          <w:color w:val="0D5C75"/>
          <w:sz w:val="22"/>
        </w:rPr>
        <w:t>Table: bank_transactions (Cash &amp; Bank)</w:t>
      </w:r>
    </w:p>
    <w:p>
      <w:pPr>
        <w:spacing w:before="0" w:after="80" w:line="276" w:lineRule="auto"/>
      </w:pPr>
      <w:r>
        <w:rPr>
          <w:rFonts w:ascii="Calibri" w:hAnsi="Calibri"/>
          <w:color w:val="2C3E50"/>
          <w:sz w:val="20"/>
        </w:rPr>
        <w:t>Description: Detailed bank account transaction entries and clearances.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transaction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bank_account_id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bank_accounts(id).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voucher_id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journal_entries(id).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transaction_date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Transaction issuance date.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value_date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Bank statement clearance date.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transaction_type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VARCHAR(10)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DEPOSIT or WITHDRAWAL.</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amount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Monetary amount.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reference_number</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VARCHAR(100)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Cheque number or UTR.</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is_reconciled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FALSE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True when matched in Bank Reconciliation.</w:t>
            </w:r>
          </w:p>
        </w:tc>
      </w:tr>
    </w:tbl>
    <w:p>
      <w:pPr>
        <w:spacing w:before="0" w:after="120"/>
      </w:pPr>
    </w:p>
    <w:p>
      <w:pPr>
        <w:keepNext/>
        <w:spacing w:before="200" w:after="40"/>
      </w:pPr>
      <w:r>
        <w:rPr>
          <w:rFonts w:ascii="Calibri" w:hAnsi="Calibri"/>
          <w:b/>
          <w:color w:val="0D5C75"/>
          <w:sz w:val="22"/>
        </w:rPr>
        <w:t>Table: bank_reconciliations (Cash &amp; Bank)</w:t>
      </w:r>
    </w:p>
    <w:p>
      <w:pPr>
        <w:spacing w:before="0" w:after="80" w:line="276" w:lineRule="auto"/>
      </w:pPr>
      <w:r>
        <w:rPr>
          <w:rFonts w:ascii="Calibri" w:hAnsi="Calibri"/>
          <w:color w:val="2C3E50"/>
          <w:sz w:val="20"/>
        </w:rPr>
        <w:t>Description: Monthly Bank Reconciliation Statements (BRS).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BRS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bank_account_id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bank_accounts(id).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statement_date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Bank statement cutoff date.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closing_book_balance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ERP ledger balance at cutoff.</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statement_balance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Actual bank balance from statement.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unreconciled_difference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Book vs Statement variance.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is_reconciled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FALSE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True when difference is 0.00.</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reconciled_by</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users(id).</w:t>
            </w:r>
          </w:p>
        </w:tc>
      </w:tr>
    </w:tbl>
    <w:p>
      <w:pPr>
        <w:spacing w:before="0" w:after="120"/>
      </w:pPr>
    </w:p>
    <w:p>
      <w:pPr>
        <w:keepNext/>
        <w:spacing w:before="200" w:after="40"/>
      </w:pPr>
      <w:r>
        <w:rPr>
          <w:rFonts w:ascii="Calibri" w:hAnsi="Calibri"/>
          <w:b/>
          <w:color w:val="0D5C75"/>
          <w:sz w:val="22"/>
        </w:rPr>
        <w:t>Table: petty_cash_transactions (Cash &amp; Bank)</w:t>
      </w:r>
    </w:p>
    <w:p>
      <w:pPr>
        <w:spacing w:before="0" w:after="80" w:line="276" w:lineRule="auto"/>
      </w:pPr>
      <w:r>
        <w:rPr>
          <w:rFonts w:ascii="Calibri" w:hAnsi="Calibri"/>
          <w:color w:val="2C3E50"/>
          <w:sz w:val="20"/>
        </w:rPr>
        <w:t>Description: Imprest petty cash disbursements and vouchers.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petty cash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bank_account_id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bank_accounts(id) (Petty Cash Book).</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custodian_user_id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users(id). Custodian staff.</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entry_date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Disbursement date.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expense_account_id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chart_of_accounts(id).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project_id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projects(id) if project cost.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amount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DECIMAL(12,2)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Disbursed cash amount.</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paid_to</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VARCHAR(100)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Recipient vendor or staff.</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receipt_doc_id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document_attachments(id).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approval_status</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'APPROVED'</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APPROVED, REJECTED.</w:t>
            </w:r>
          </w:p>
        </w:tc>
      </w:tr>
    </w:tbl>
    <w:p>
      <w:pPr>
        <w:spacing w:before="0" w:after="120"/>
      </w:pPr>
    </w:p>
    <w:p>
      <w:pPr>
        <w:keepNext/>
        <w:spacing w:before="280" w:after="80"/>
      </w:pPr>
      <w:r>
        <w:rPr>
          <w:rFonts w:ascii="Calibri" w:hAnsi="Calibri"/>
          <w:b/>
          <w:color w:val="2B547E"/>
          <w:sz w:val="25"/>
        </w:rPr>
        <w:t>8.10 Domain 10: Payroll, Employee Records &amp; HR Tables</w:t>
      </w:r>
    </w:p>
    <w:p>
      <w:pPr>
        <w:keepNext/>
        <w:spacing w:before="200" w:after="40"/>
      </w:pPr>
      <w:r>
        <w:rPr>
          <w:rFonts w:ascii="Calibri" w:hAnsi="Calibri"/>
          <w:b/>
          <w:color w:val="0D5C75"/>
          <w:sz w:val="22"/>
        </w:rPr>
        <w:t>Table: employees (Payroll &amp; HR)</w:t>
      </w:r>
    </w:p>
    <w:p>
      <w:pPr>
        <w:spacing w:before="0" w:after="80" w:line="276" w:lineRule="auto"/>
      </w:pPr>
      <w:r>
        <w:rPr>
          <w:rFonts w:ascii="Calibri" w:hAnsi="Calibri"/>
          <w:color w:val="2C3E50"/>
          <w:sz w:val="20"/>
        </w:rPr>
        <w:t>Description: Master employee profiles and employment terms.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employee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company_id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companies(id).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branch_id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branches(id).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employee_code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VARCHAR(30)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Staff ID (e.g. EMP-0042).</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full_name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VARCHAR(150)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Official legal name.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department_name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VARCHAR(100)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Department (e.g. Engineering, Accounts, Sales).</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designation_title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VARCHAR(100)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Job title (e.g. Senior Software Engineer).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reporting_manager_id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employees(id).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date_of_joining</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Joining date.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pan</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VARCHAR(10)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Employee PAN for Form 16 / TDS.</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uan</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Universal Account Number for Employee Provident Fund.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bank_account_no</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Salary credit account number.</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bank_ifsc</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Salary credit bank IFSC.</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is_active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TRUE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Active employment status.</w:t>
            </w:r>
          </w:p>
        </w:tc>
      </w:tr>
    </w:tbl>
    <w:p>
      <w:pPr>
        <w:spacing w:before="0" w:after="120"/>
      </w:pPr>
    </w:p>
    <w:p>
      <w:pPr>
        <w:keepNext/>
        <w:spacing w:before="200" w:after="40"/>
      </w:pPr>
      <w:r>
        <w:rPr>
          <w:rFonts w:ascii="Calibri" w:hAnsi="Calibri"/>
          <w:b/>
          <w:color w:val="0D5C75"/>
          <w:sz w:val="22"/>
        </w:rPr>
        <w:t>Table: salary_structures (Payroll &amp; HR)</w:t>
      </w:r>
    </w:p>
    <w:p>
      <w:pPr>
        <w:spacing w:before="0" w:after="80" w:line="276" w:lineRule="auto"/>
      </w:pPr>
      <w:r>
        <w:rPr>
          <w:rFonts w:ascii="Calibri" w:hAnsi="Calibri"/>
          <w:color w:val="2C3E50"/>
          <w:sz w:val="20"/>
        </w:rPr>
        <w:t>Description: Configurable salary breakdown templates.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structure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employee_id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employees(id).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effective_from</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Effective date.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ctc_annual</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DECIMAL(12,2)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Annual Cost to Company.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gross_monthly</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DECIMAL(12,2)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Monthly Gross Salary.</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basic_pay</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DECIMAL(12,2)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Basic salary component.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hra</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DECIMAL(12,2)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House Rent Allowance.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special_allowance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DECIMAL(12,2)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Special / Other allowances.</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pf_employee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DECIMAL(12,2)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Employee PF deduction (12% of Basic).</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professional_tax</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DECIMAL(12,2)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State Professional Tax (PT).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is_active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BOOLEAN</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TRUE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Active structure flag.</w:t>
            </w:r>
          </w:p>
        </w:tc>
      </w:tr>
    </w:tbl>
    <w:p>
      <w:pPr>
        <w:spacing w:before="0" w:after="120"/>
      </w:pPr>
    </w:p>
    <w:p>
      <w:pPr>
        <w:keepNext/>
        <w:spacing w:before="200" w:after="40"/>
      </w:pPr>
      <w:r>
        <w:rPr>
          <w:rFonts w:ascii="Calibri" w:hAnsi="Calibri"/>
          <w:b/>
          <w:color w:val="0D5C75"/>
          <w:sz w:val="22"/>
        </w:rPr>
        <w:t>Table: payroll_runs (Payroll &amp; HR)</w:t>
      </w:r>
    </w:p>
    <w:p>
      <w:pPr>
        <w:spacing w:before="0" w:after="80" w:line="276" w:lineRule="auto"/>
      </w:pPr>
      <w:r>
        <w:rPr>
          <w:rFonts w:ascii="Calibri" w:hAnsi="Calibri"/>
          <w:color w:val="2C3E50"/>
          <w:sz w:val="20"/>
        </w:rPr>
        <w:t>Description: Monthly payroll processing batch records.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payroll run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company_id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companies(id).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month_year</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VARCHAR(7)</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Payroll month (e.g. 09-2026).</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total_employees_processed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Headcount processed.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total_gross_salary</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Total Gross Salary.</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total_deductions</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Total deductions (PF, PT, TDS, Advances).</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total_net_payable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Net bank disbursement total.</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status</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'DRAFT'</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DRAFT, APPROVED, PROCESSED, PAID.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journal_entry_id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journal_entries(id). Auto-posted salary JV.</w:t>
            </w:r>
          </w:p>
        </w:tc>
      </w:tr>
    </w:tbl>
    <w:p>
      <w:pPr>
        <w:spacing w:before="0" w:after="120"/>
      </w:pPr>
    </w:p>
    <w:p>
      <w:pPr>
        <w:keepNext/>
        <w:spacing w:before="200" w:after="40"/>
      </w:pPr>
      <w:r>
        <w:rPr>
          <w:rFonts w:ascii="Calibri" w:hAnsi="Calibri"/>
          <w:b/>
          <w:color w:val="0D5C75"/>
          <w:sz w:val="22"/>
        </w:rPr>
        <w:t>Table: payroll_items (Payroll &amp; HR)</w:t>
      </w:r>
    </w:p>
    <w:p>
      <w:pPr>
        <w:spacing w:before="0" w:after="80" w:line="276" w:lineRule="auto"/>
      </w:pPr>
      <w:r>
        <w:rPr>
          <w:rFonts w:ascii="Calibri" w:hAnsi="Calibri"/>
          <w:color w:val="2C3E50"/>
          <w:sz w:val="20"/>
        </w:rPr>
        <w:t>Description: Individual employee monthly payslips and computations.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payslip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payroll_run_id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payroll_runs(id).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employee_id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employees(id).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working_days_in_month</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30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Total calendar days.</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days_payable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DECIMAL(4,1)</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30.0</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Paid working days.</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gross_earned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DECIMAL(12,2)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Gross earnings for month.</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pf_deduction</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DECIMAL(12,2)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Provident fund deduction.</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pt_deduction</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DECIMAL(12,2)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Professional tax deduction.</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tds_deduction</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DECIMAL(12,2)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Income tax TDS deduction.</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advance_deduction</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DECIMAL(12,2)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Salary advance installment.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net_salary</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DECIMAL(12,2)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Net amount credited to bank.</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payment_status</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'UNPAID'</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UNPAID, PAID.</w:t>
            </w:r>
          </w:p>
        </w:tc>
      </w:tr>
    </w:tbl>
    <w:p>
      <w:pPr>
        <w:spacing w:before="0" w:after="120"/>
      </w:pPr>
    </w:p>
    <w:p>
      <w:pPr>
        <w:keepNext/>
        <w:spacing w:before="200" w:after="40"/>
      </w:pPr>
      <w:r>
        <w:rPr>
          <w:rFonts w:ascii="Calibri" w:hAnsi="Calibri"/>
          <w:b/>
          <w:color w:val="0D5C75"/>
          <w:sz w:val="22"/>
        </w:rPr>
        <w:t>Table: employee_advances (Payroll &amp; HR)</w:t>
      </w:r>
    </w:p>
    <w:p>
      <w:pPr>
        <w:spacing w:before="0" w:after="80" w:line="276" w:lineRule="auto"/>
      </w:pPr>
      <w:r>
        <w:rPr>
          <w:rFonts w:ascii="Calibri" w:hAnsi="Calibri"/>
          <w:color w:val="2C3E50"/>
          <w:sz w:val="20"/>
        </w:rPr>
        <w:t>Description: Short-term employee advance loans and recovery schedules.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advance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employee_id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employees(id).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advance_amount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DECIMAL(12,2)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Principal amount disbursed.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disbursement_date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Disbursement date.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monthly_recovery_amount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DECIMAL(12,2)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Deduction per monthly payslip.</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recovered_amount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DECIMAL(12,2)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Cumulative recovered sum.</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balance_due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DECIMAL(12,2)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Remaining unrecovered advance.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status</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'ACTIVE'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ACTIVE, RECOVERED, WAIVED.</w:t>
            </w:r>
          </w:p>
        </w:tc>
      </w:tr>
    </w:tbl>
    <w:p>
      <w:pPr>
        <w:spacing w:before="0" w:after="120"/>
      </w:pPr>
    </w:p>
    <w:p>
      <w:pPr>
        <w:keepNext/>
        <w:spacing w:before="200" w:after="40"/>
      </w:pPr>
      <w:r>
        <w:rPr>
          <w:rFonts w:ascii="Calibri" w:hAnsi="Calibri"/>
          <w:b/>
          <w:color w:val="0D5C75"/>
          <w:sz w:val="22"/>
        </w:rPr>
        <w:t>Table: leave_applications (Payroll &amp; HR)</w:t>
      </w:r>
    </w:p>
    <w:p>
      <w:pPr>
        <w:spacing w:before="0" w:after="80" w:line="276" w:lineRule="auto"/>
      </w:pPr>
      <w:r>
        <w:rPr>
          <w:rFonts w:ascii="Calibri" w:hAnsi="Calibri"/>
          <w:color w:val="2C3E50"/>
          <w:sz w:val="20"/>
        </w:rPr>
        <w:t>Description: Employee leave requests and attendance balance updates.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leave application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employee_id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employees(id).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leave_type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CASUAL_LEAVE, SICK_LEAVE, EARNED_LEAVE, LWP.</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from_date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Leave start date.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to_date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Leave end date.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total_days</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DECIMAL(4,1)</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Number of days requested.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reason</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TEXT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Leave justification remarks.</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status</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'PENDING'</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PENDING, APPROVED, REJECTED, CANCELLED.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approved_by</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users(id). Approving manager.</w:t>
            </w:r>
          </w:p>
        </w:tc>
      </w:tr>
    </w:tbl>
    <w:p>
      <w:pPr>
        <w:spacing w:before="0" w:after="120"/>
      </w:pPr>
    </w:p>
    <w:p>
      <w:pPr>
        <w:keepNext/>
        <w:spacing w:before="280" w:after="80"/>
      </w:pPr>
      <w:r>
        <w:rPr>
          <w:rFonts w:ascii="Calibri" w:hAnsi="Calibri"/>
          <w:b/>
          <w:color w:val="2B547E"/>
          <w:sz w:val="25"/>
        </w:rPr>
        <w:t>8.11 Domain 11: Fixed Assets &amp; Support Help Desk Tables</w:t>
      </w:r>
    </w:p>
    <w:p>
      <w:pPr>
        <w:keepNext/>
        <w:spacing w:before="200" w:after="40"/>
      </w:pPr>
      <w:r>
        <w:rPr>
          <w:rFonts w:ascii="Calibri" w:hAnsi="Calibri"/>
          <w:b/>
          <w:color w:val="0D5C75"/>
          <w:sz w:val="22"/>
        </w:rPr>
        <w:t>Table: fixed_assets (Asset Management)</w:t>
      </w:r>
    </w:p>
    <w:p>
      <w:pPr>
        <w:spacing w:before="0" w:after="80" w:line="276" w:lineRule="auto"/>
      </w:pPr>
      <w:r>
        <w:rPr>
          <w:rFonts w:ascii="Calibri" w:hAnsi="Calibri"/>
          <w:color w:val="2C3E50"/>
          <w:sz w:val="20"/>
        </w:rPr>
        <w:t>Description: Capitalized durable hardware and equipment register.</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asset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company_id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companies(id).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branch_id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branches(id).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asset_tag_code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Barcode / Tag code (e.g. AST-LAP-0089).</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asset_name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VARCHAR(150)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Asset description (e.g. Dell Latitude 7440 i7 32GB).</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category</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LAPTOP, DESKTOP, SERVER, PRINTER, FURNITURE, VEHICLE.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serial_number</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VARCHAR(100)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Unique, 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Manufacturer hardware serial number.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purchase_bill_id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purchase_bills(id). Source bill.</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purchase_date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Asset acquisition date.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purchase_cost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Capitalized purchase cost.</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current_book_value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DECIMAL(15,2)</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Written Down Value (WDV).</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depreciation_rate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DECIMAL(5,2)</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40.00</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Annual WDV depreciation rate %.</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status</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'AVAILABLE'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AVAILABLE, ALLOCATED, UNDER_MAINTENANCE, SCRAPPED, SOLD.</w:t>
            </w:r>
          </w:p>
        </w:tc>
      </w:tr>
    </w:tbl>
    <w:p>
      <w:pPr>
        <w:spacing w:before="0" w:after="120"/>
      </w:pPr>
    </w:p>
    <w:p>
      <w:pPr>
        <w:keepNext/>
        <w:spacing w:before="200" w:after="40"/>
      </w:pPr>
      <w:r>
        <w:rPr>
          <w:rFonts w:ascii="Calibri" w:hAnsi="Calibri"/>
          <w:b/>
          <w:color w:val="0D5C75"/>
          <w:sz w:val="22"/>
        </w:rPr>
        <w:t>Table: asset_allocations (Asset Management)</w:t>
      </w:r>
    </w:p>
    <w:p>
      <w:pPr>
        <w:spacing w:before="0" w:after="80" w:line="276" w:lineRule="auto"/>
      </w:pPr>
      <w:r>
        <w:rPr>
          <w:rFonts w:ascii="Calibri" w:hAnsi="Calibri"/>
          <w:color w:val="2C3E50"/>
          <w:sz w:val="20"/>
        </w:rPr>
        <w:t>Description: Hardware custodian history and staff allocations.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allocation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asset_id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fixed_assets(id).</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allocated_to_employee_id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employees(id). Custodian.</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allocated_date</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Handover date.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return_date</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DATE</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Return date when decommissioned/reassigned.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handover_condition</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VARCHAR(255)</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Physical condition notes at handover.</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allocated_by</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users(id). IT Admin.</w:t>
            </w:r>
          </w:p>
        </w:tc>
      </w:tr>
    </w:tbl>
    <w:p>
      <w:pPr>
        <w:spacing w:before="0" w:after="120"/>
      </w:pPr>
    </w:p>
    <w:p>
      <w:pPr>
        <w:keepNext/>
        <w:spacing w:before="200" w:after="40"/>
      </w:pPr>
      <w:r>
        <w:rPr>
          <w:rFonts w:ascii="Calibri" w:hAnsi="Calibri"/>
          <w:b/>
          <w:color w:val="0D5C75"/>
          <w:sz w:val="22"/>
        </w:rPr>
        <w:t>Table: support_tickets (Support Desk)</w:t>
      </w:r>
    </w:p>
    <w:p>
      <w:pPr>
        <w:spacing w:before="0" w:after="80" w:line="276" w:lineRule="auto"/>
      </w:pPr>
      <w:r>
        <w:rPr>
          <w:rFonts w:ascii="Calibri" w:hAnsi="Calibri"/>
          <w:color w:val="2C3E50"/>
          <w:sz w:val="20"/>
        </w:rPr>
        <w:t>Description: Internal IT help desk and system support ticketing.</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987"/>
        <w:gridCol w:w="1987"/>
        <w:gridCol w:w="1987"/>
        <w:gridCol w:w="1987"/>
        <w:gridCol w:w="1987"/>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Column Name</w:t>
            </w:r>
          </w:p>
        </w:tc>
        <w:tc>
          <w:tcPr>
            <w:tcW w:type="dxa" w:w="1584"/>
            <w:shd w:fill="1B365D"/>
            <w:tcMar>
              <w:top w:w="120" w:type="dxa"/>
              <w:bottom w:w="120" w:type="dxa"/>
              <w:left w:w="140" w:type="dxa"/>
              <w:right w:w="140" w:type="dxa"/>
            </w:tcMar>
          </w:tcPr>
          <w:p>
            <w:pPr>
              <w:spacing w:before="0" w:after="0"/>
            </w:pPr>
            <w:r>
              <w:rPr>
                <w:rFonts w:ascii="Calibri" w:hAnsi="Calibri"/>
                <w:b/>
                <w:color w:val="FFFFFF"/>
                <w:sz w:val="18"/>
              </w:rPr>
              <w:t>Data Type</w:t>
            </w:r>
          </w:p>
        </w:tc>
        <w:tc>
          <w:tcPr>
            <w:tcW w:type="dxa" w:w="1440"/>
            <w:shd w:fill="1B365D"/>
            <w:tcMar>
              <w:top w:w="120" w:type="dxa"/>
              <w:bottom w:w="120" w:type="dxa"/>
              <w:left w:w="140" w:type="dxa"/>
              <w:right w:w="140" w:type="dxa"/>
            </w:tcMar>
          </w:tcPr>
          <w:p>
            <w:pPr>
              <w:spacing w:before="0" w:after="0"/>
            </w:pPr>
            <w:r>
              <w:rPr>
                <w:rFonts w:ascii="Calibri" w:hAnsi="Calibri"/>
                <w:b/>
                <w:color w:val="FFFFFF"/>
                <w:sz w:val="18"/>
              </w:rPr>
              <w:t>Constraint</w:t>
            </w:r>
          </w:p>
        </w:tc>
        <w:tc>
          <w:tcPr>
            <w:tcW w:type="dxa" w:w="1296"/>
            <w:shd w:fill="1B365D"/>
            <w:tcMar>
              <w:top w:w="120" w:type="dxa"/>
              <w:bottom w:w="120" w:type="dxa"/>
              <w:left w:w="140" w:type="dxa"/>
              <w:right w:w="140" w:type="dxa"/>
            </w:tcMar>
          </w:tcPr>
          <w:p>
            <w:pPr>
              <w:spacing w:before="0" w:after="0"/>
            </w:pPr>
            <w:r>
              <w:rPr>
                <w:rFonts w:ascii="Calibri" w:hAnsi="Calibri"/>
                <w:b/>
                <w:color w:val="FFFFFF"/>
                <w:sz w:val="18"/>
              </w:rPr>
              <w:t>Default</w:t>
            </w:r>
          </w:p>
        </w:tc>
        <w:tc>
          <w:tcPr>
            <w:tcW w:type="dxa" w:w="3888"/>
            <w:shd w:fill="1B365D"/>
            <w:tcMar>
              <w:top w:w="120" w:type="dxa"/>
              <w:bottom w:w="120" w:type="dxa"/>
              <w:left w:w="140" w:type="dxa"/>
              <w:right w:w="140" w:type="dxa"/>
            </w:tcMar>
          </w:tcPr>
          <w:p>
            <w:pPr>
              <w:spacing w:before="0" w:after="0"/>
            </w:pPr>
            <w:r>
              <w:rPr>
                <w:rFonts w:ascii="Calibri" w:hAnsi="Calibri"/>
                <w:b/>
                <w:color w:val="FFFFFF"/>
                <w:sz w:val="18"/>
              </w:rPr>
              <w:t>Description &amp; Foreign Key</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PK,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AUTO_INCREMENT</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Primary ticket identifier.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ticket_number</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Unique, 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Ticket reference (e.g. TKT-2026-00412).</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raised_by_user_id</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FK, 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Foreign Key -&gt; users(id). Requester.</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category</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VARCHAR(50)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HARDWARE, SOFTWARE, NETWORK, ERP_SUPPORT, ACCESS.</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priority</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'MEDIUM'</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LOW, MEDIUM, HIGH, CRITICAL.</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subject</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VARCHAR(200)</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Issue summary title.</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description</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TEXT</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Detailed description of problem.</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assigned_to_user_id</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BIGINT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FK, 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Foreign Key -&gt; users(id). IT Engineer.</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status</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VARCHAR(20)</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Not Null</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'OPEN'</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OPEN, IN_PROGRESS, RESOLVED, CLOSED.</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resolution_notes</w:t>
            </w:r>
          </w:p>
        </w:tc>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TEXT</w:t>
            </w:r>
          </w:p>
        </w:tc>
        <w:tc>
          <w:tcPr>
            <w:tcW w:type="dxa" w:w="1440"/>
            <w:shd w:fill="F8FAFC"/>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8FAFC"/>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8FAFC"/>
            <w:tcMar>
              <w:top w:w="80" w:type="dxa"/>
              <w:bottom w:w="80" w:type="dxa"/>
              <w:left w:w="120" w:type="dxa"/>
              <w:right w:w="120" w:type="dxa"/>
            </w:tcMar>
          </w:tcPr>
          <w:p>
            <w:pPr>
              <w:spacing w:before="0" w:after="40" w:line="276" w:lineRule="auto"/>
            </w:pPr>
            <w:r>
              <w:rPr>
                <w:rFonts w:ascii="Calibri" w:hAnsi="Calibri"/>
                <w:color w:val="2C3E50"/>
                <w:sz w:val="17"/>
              </w:rPr>
              <w:t>Troubleshooting and resolution remarks.</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resolved_at</w:t>
            </w:r>
          </w:p>
        </w:tc>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TIMESTAMP</w:t>
            </w:r>
          </w:p>
        </w:tc>
        <w:tc>
          <w:tcPr>
            <w:tcW w:type="dxa" w:w="1440"/>
            <w:shd w:fill="FFFFFF"/>
            <w:tcMar>
              <w:top w:w="80" w:type="dxa"/>
              <w:bottom w:w="80" w:type="dxa"/>
              <w:left w:w="120" w:type="dxa"/>
              <w:right w:w="120" w:type="dxa"/>
            </w:tcMar>
          </w:tcPr>
          <w:p>
            <w:pPr>
              <w:spacing w:before="0" w:after="40" w:line="276" w:lineRule="auto"/>
            </w:pPr>
            <w:r>
              <w:rPr>
                <w:rFonts w:ascii="Calibri" w:hAnsi="Calibri"/>
                <w:color w:val="2C3E50"/>
                <w:sz w:val="17"/>
              </w:rPr>
              <w:t>Nullable</w:t>
            </w:r>
          </w:p>
        </w:tc>
        <w:tc>
          <w:tcPr>
            <w:tcW w:type="dxa" w:w="1296"/>
            <w:shd w:fill="FFFFFF"/>
            <w:tcMar>
              <w:top w:w="80" w:type="dxa"/>
              <w:bottom w:w="80" w:type="dxa"/>
              <w:left w:w="120" w:type="dxa"/>
              <w:right w:w="120" w:type="dxa"/>
            </w:tcMar>
          </w:tcPr>
          <w:p>
            <w:pPr>
              <w:spacing w:before="0" w:after="40" w:line="276" w:lineRule="auto"/>
            </w:pPr>
            <w:r>
              <w:rPr>
                <w:rFonts w:ascii="Calibri" w:hAnsi="Calibri"/>
                <w:color w:val="2C3E50"/>
                <w:sz w:val="17"/>
              </w:rPr>
              <w:t>None</w:t>
            </w:r>
          </w:p>
        </w:tc>
        <w:tc>
          <w:tcPr>
            <w:tcW w:type="dxa" w:w="3888"/>
            <w:shd w:fill="FFFFFF"/>
            <w:tcMar>
              <w:top w:w="80" w:type="dxa"/>
              <w:bottom w:w="80" w:type="dxa"/>
              <w:left w:w="120" w:type="dxa"/>
              <w:right w:w="120" w:type="dxa"/>
            </w:tcMar>
          </w:tcPr>
          <w:p>
            <w:pPr>
              <w:spacing w:before="0" w:after="40" w:line="276" w:lineRule="auto"/>
            </w:pPr>
            <w:r>
              <w:rPr>
                <w:rFonts w:ascii="Calibri" w:hAnsi="Calibri"/>
                <w:color w:val="2C3E50"/>
                <w:sz w:val="17"/>
              </w:rPr>
              <w:t>Resolution completion timestamp.</w:t>
            </w:r>
          </w:p>
        </w:tc>
      </w:tr>
    </w:tbl>
    <w:p>
      <w:pPr>
        <w:spacing w:before="0" w:after="120"/>
      </w:pPr>
    </w:p>
    <w:p>
      <w:pPr>
        <w:keepNext/>
        <w:spacing w:before="360" w:after="120"/>
      </w:pPr>
      <w:r>
        <w:rPr>
          <w:rFonts w:ascii="Calibri" w:hAnsi="Calibri"/>
          <w:b/>
          <w:color w:val="1B365D"/>
          <w:sz w:val="30"/>
        </w:rPr>
        <w:t>9. Database Performance, Indexing &amp; Security Strategy</w:t>
      </w:r>
    </w:p>
    <w:p>
      <w:pPr>
        <w:spacing w:before="0" w:after="80" w:line="276" w:lineRule="auto"/>
      </w:pPr>
      <w:r>
        <w:rPr>
          <w:rFonts w:ascii="Calibri" w:hAnsi="Calibri"/>
          <w:color w:val="2C3E50"/>
          <w:sz w:val="20"/>
        </w:rPr>
        <w:t>To ensure high concurrency, zero data loss, sub-50ms query response times, and compliance with statutory audit norms, SDK ERP establishes comprehensive indexing, partitioning, and security policies.</w:t>
      </w:r>
    </w:p>
    <w:p>
      <w:pPr>
        <w:keepNext/>
        <w:spacing w:before="280" w:after="80"/>
      </w:pPr>
      <w:r>
        <w:rPr>
          <w:rFonts w:ascii="Calibri" w:hAnsi="Calibri"/>
          <w:b/>
          <w:color w:val="2B547E"/>
          <w:sz w:val="25"/>
        </w:rPr>
        <w:t>9.1 Composite &amp; B-Tree Indexing Strategy</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484"/>
        <w:gridCol w:w="2484"/>
        <w:gridCol w:w="2484"/>
        <w:gridCol w:w="2484"/>
      </w:tblGrid>
      <w:tr>
        <w:tc>
          <w:tcPr>
            <w:tcW w:type="dxa" w:w="2016"/>
            <w:shd w:fill="1B365D"/>
            <w:tcMar>
              <w:top w:w="120" w:type="dxa"/>
              <w:bottom w:w="120" w:type="dxa"/>
              <w:left w:w="140" w:type="dxa"/>
              <w:right w:w="140" w:type="dxa"/>
            </w:tcMar>
          </w:tcPr>
          <w:p>
            <w:pPr>
              <w:spacing w:before="0" w:after="0"/>
            </w:pPr>
            <w:r>
              <w:rPr>
                <w:rFonts w:ascii="Calibri" w:hAnsi="Calibri"/>
                <w:b/>
                <w:color w:val="FFFFFF"/>
                <w:sz w:val="18"/>
              </w:rPr>
              <w:t>Target Database Table</w:t>
            </w:r>
          </w:p>
        </w:tc>
        <w:tc>
          <w:tcPr>
            <w:tcW w:type="dxa" w:w="2592"/>
            <w:shd w:fill="1B365D"/>
            <w:tcMar>
              <w:top w:w="120" w:type="dxa"/>
              <w:bottom w:w="120" w:type="dxa"/>
              <w:left w:w="140" w:type="dxa"/>
              <w:right w:w="140" w:type="dxa"/>
            </w:tcMar>
          </w:tcPr>
          <w:p>
            <w:pPr>
              <w:spacing w:before="0" w:after="0"/>
            </w:pPr>
            <w:r>
              <w:rPr>
                <w:rFonts w:ascii="Calibri" w:hAnsi="Calibri"/>
                <w:b/>
                <w:color w:val="FFFFFF"/>
                <w:sz w:val="18"/>
              </w:rPr>
              <w:t>Indexed Columns</w:t>
            </w:r>
          </w:p>
        </w:tc>
        <w:tc>
          <w:tcPr>
            <w:tcW w:type="dxa" w:w="1728"/>
            <w:shd w:fill="1B365D"/>
            <w:tcMar>
              <w:top w:w="120" w:type="dxa"/>
              <w:bottom w:w="120" w:type="dxa"/>
              <w:left w:w="140" w:type="dxa"/>
              <w:right w:w="140" w:type="dxa"/>
            </w:tcMar>
          </w:tcPr>
          <w:p>
            <w:pPr>
              <w:spacing w:before="0" w:after="0"/>
            </w:pPr>
            <w:r>
              <w:rPr>
                <w:rFonts w:ascii="Calibri" w:hAnsi="Calibri"/>
                <w:b/>
                <w:color w:val="FFFFFF"/>
                <w:sz w:val="18"/>
              </w:rPr>
              <w:t>Index Type</w:t>
            </w:r>
          </w:p>
        </w:tc>
        <w:tc>
          <w:tcPr>
            <w:tcW w:type="dxa" w:w="3168"/>
            <w:shd w:fill="1B365D"/>
            <w:tcMar>
              <w:top w:w="120" w:type="dxa"/>
              <w:bottom w:w="120" w:type="dxa"/>
              <w:left w:w="140" w:type="dxa"/>
              <w:right w:w="140" w:type="dxa"/>
            </w:tcMar>
          </w:tcPr>
          <w:p>
            <w:pPr>
              <w:spacing w:before="0" w:after="0"/>
            </w:pPr>
            <w:r>
              <w:rPr>
                <w:rFonts w:ascii="Calibri" w:hAnsi="Calibri"/>
                <w:b/>
                <w:color w:val="FFFFFF"/>
                <w:sz w:val="18"/>
              </w:rPr>
              <w:t>Performance Rationale</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sales_invoices</w:t>
            </w:r>
          </w:p>
        </w:tc>
        <w:tc>
          <w:tcPr>
            <w:tcW w:type="dxa" w:w="2592"/>
            <w:shd w:fill="FFFFFF"/>
            <w:tcMar>
              <w:top w:w="80" w:type="dxa"/>
              <w:bottom w:w="80" w:type="dxa"/>
              <w:left w:w="120" w:type="dxa"/>
              <w:right w:w="120" w:type="dxa"/>
            </w:tcMar>
          </w:tcPr>
          <w:p>
            <w:pPr>
              <w:spacing w:before="0" w:after="40" w:line="276" w:lineRule="auto"/>
            </w:pPr>
            <w:r>
              <w:rPr>
                <w:rFonts w:ascii="Calibri" w:hAnsi="Calibri"/>
                <w:color w:val="2C3E50"/>
                <w:sz w:val="17"/>
              </w:rPr>
              <w:t>(client_id, status, invoice_date)</w:t>
            </w:r>
          </w:p>
        </w:tc>
        <w:tc>
          <w:tcPr>
            <w:tcW w:type="dxa" w:w="1728"/>
            <w:shd w:fill="FFFFFF"/>
            <w:tcMar>
              <w:top w:w="80" w:type="dxa"/>
              <w:bottom w:w="80" w:type="dxa"/>
              <w:left w:w="120" w:type="dxa"/>
              <w:right w:w="120" w:type="dxa"/>
            </w:tcMar>
          </w:tcPr>
          <w:p>
            <w:pPr>
              <w:spacing w:before="0" w:after="40" w:line="276" w:lineRule="auto"/>
            </w:pPr>
            <w:r>
              <w:rPr>
                <w:rFonts w:ascii="Calibri" w:hAnsi="Calibri"/>
                <w:color w:val="2C3E50"/>
                <w:sz w:val="17"/>
              </w:rPr>
              <w:t>B-Tree Composite</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Accelerates Client Receivable Aging queries and payment allocation popups.</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purchase_bills</w:t>
            </w:r>
          </w:p>
        </w:tc>
        <w:tc>
          <w:tcPr>
            <w:tcW w:type="dxa" w:w="2592"/>
            <w:shd w:fill="F8FAFC"/>
            <w:tcMar>
              <w:top w:w="80" w:type="dxa"/>
              <w:bottom w:w="80" w:type="dxa"/>
              <w:left w:w="120" w:type="dxa"/>
              <w:right w:w="120" w:type="dxa"/>
            </w:tcMar>
          </w:tcPr>
          <w:p>
            <w:pPr>
              <w:spacing w:before="0" w:after="40" w:line="276" w:lineRule="auto"/>
            </w:pPr>
            <w:r>
              <w:rPr>
                <w:rFonts w:ascii="Calibri" w:hAnsi="Calibri"/>
                <w:color w:val="2C3E50"/>
                <w:sz w:val="17"/>
              </w:rPr>
              <w:t>(vendor_id, status, due_date)</w:t>
            </w:r>
          </w:p>
        </w:tc>
        <w:tc>
          <w:tcPr>
            <w:tcW w:type="dxa" w:w="1728"/>
            <w:shd w:fill="F8FAFC"/>
            <w:tcMar>
              <w:top w:w="80" w:type="dxa"/>
              <w:bottom w:w="80" w:type="dxa"/>
              <w:left w:w="120" w:type="dxa"/>
              <w:right w:w="120" w:type="dxa"/>
            </w:tcMar>
          </w:tcPr>
          <w:p>
            <w:pPr>
              <w:spacing w:before="0" w:after="40" w:line="276" w:lineRule="auto"/>
            </w:pPr>
            <w:r>
              <w:rPr>
                <w:rFonts w:ascii="Calibri" w:hAnsi="Calibri"/>
                <w:color w:val="2C3E50"/>
                <w:sz w:val="17"/>
              </w:rPr>
              <w:t>B-Tree Composite</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Optimizes Vendor Payable Aging and Outstanding Bill lookups.</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journal_lines</w:t>
            </w:r>
          </w:p>
        </w:tc>
        <w:tc>
          <w:tcPr>
            <w:tcW w:type="dxa" w:w="2592"/>
            <w:shd w:fill="FFFFFF"/>
            <w:tcMar>
              <w:top w:w="80" w:type="dxa"/>
              <w:bottom w:w="80" w:type="dxa"/>
              <w:left w:w="120" w:type="dxa"/>
              <w:right w:w="120" w:type="dxa"/>
            </w:tcMar>
          </w:tcPr>
          <w:p>
            <w:pPr>
              <w:spacing w:before="0" w:after="40" w:line="276" w:lineRule="auto"/>
            </w:pPr>
            <w:r>
              <w:rPr>
                <w:rFonts w:ascii="Calibri" w:hAnsi="Calibri"/>
                <w:color w:val="2C3E50"/>
                <w:sz w:val="17"/>
              </w:rPr>
              <w:t>(account_id, journal_entry_id)</w:t>
            </w:r>
          </w:p>
        </w:tc>
        <w:tc>
          <w:tcPr>
            <w:tcW w:type="dxa" w:w="1728"/>
            <w:shd w:fill="FFFFFF"/>
            <w:tcMar>
              <w:top w:w="80" w:type="dxa"/>
              <w:bottom w:w="80" w:type="dxa"/>
              <w:left w:w="120" w:type="dxa"/>
              <w:right w:w="120" w:type="dxa"/>
            </w:tcMar>
          </w:tcPr>
          <w:p>
            <w:pPr>
              <w:spacing w:before="0" w:after="40" w:line="276" w:lineRule="auto"/>
            </w:pPr>
            <w:r>
              <w:rPr>
                <w:rFonts w:ascii="Calibri" w:hAnsi="Calibri"/>
                <w:color w:val="2C3E50"/>
                <w:sz w:val="17"/>
              </w:rPr>
              <w:t>B-Tree Composite</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Enables sub-second General Ledger statement generation across millions of rows.</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gst_transactions</w:t>
            </w:r>
          </w:p>
        </w:tc>
        <w:tc>
          <w:tcPr>
            <w:tcW w:type="dxa" w:w="2592"/>
            <w:shd w:fill="F8FAFC"/>
            <w:tcMar>
              <w:top w:w="80" w:type="dxa"/>
              <w:bottom w:w="80" w:type="dxa"/>
              <w:left w:w="120" w:type="dxa"/>
              <w:right w:w="120" w:type="dxa"/>
            </w:tcMar>
          </w:tcPr>
          <w:p>
            <w:pPr>
              <w:spacing w:before="0" w:after="40" w:line="276" w:lineRule="auto"/>
            </w:pPr>
            <w:r>
              <w:rPr>
                <w:rFonts w:ascii="Calibri" w:hAnsi="Calibri"/>
                <w:color w:val="2C3E50"/>
                <w:sz w:val="17"/>
              </w:rPr>
              <w:t>(return_period, transaction_type, place_of_supply)</w:t>
            </w:r>
          </w:p>
        </w:tc>
        <w:tc>
          <w:tcPr>
            <w:tcW w:type="dxa" w:w="1728"/>
            <w:shd w:fill="F8FAFC"/>
            <w:tcMar>
              <w:top w:w="80" w:type="dxa"/>
              <w:bottom w:w="80" w:type="dxa"/>
              <w:left w:w="120" w:type="dxa"/>
              <w:right w:w="120" w:type="dxa"/>
            </w:tcMar>
          </w:tcPr>
          <w:p>
            <w:pPr>
              <w:spacing w:before="0" w:after="40" w:line="276" w:lineRule="auto"/>
            </w:pPr>
            <w:r>
              <w:rPr>
                <w:rFonts w:ascii="Calibri" w:hAnsi="Calibri"/>
                <w:color w:val="2C3E50"/>
                <w:sz w:val="17"/>
              </w:rPr>
              <w:t>B-Tree Composite</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Speeds up GSTR-1 and GSTR-3B tax return preparation computations.</w:t>
            </w:r>
          </w:p>
        </w:tc>
      </w:tr>
      <w:tr>
        <w:tc>
          <w:tcPr>
            <w:tcW w:type="dxa" w:w="2016"/>
            <w:shd w:fill="FFFFFF"/>
            <w:tcMar>
              <w:top w:w="80" w:type="dxa"/>
              <w:bottom w:w="80" w:type="dxa"/>
              <w:left w:w="120" w:type="dxa"/>
              <w:right w:w="120" w:type="dxa"/>
            </w:tcMar>
          </w:tcPr>
          <w:p>
            <w:pPr>
              <w:spacing w:before="0" w:after="40" w:line="276" w:lineRule="auto"/>
            </w:pPr>
            <w:r>
              <w:rPr>
                <w:rFonts w:ascii="Calibri" w:hAnsi="Calibri"/>
                <w:color w:val="2C3E50"/>
                <w:sz w:val="17"/>
              </w:rPr>
              <w:t>stock_transactions</w:t>
            </w:r>
          </w:p>
        </w:tc>
        <w:tc>
          <w:tcPr>
            <w:tcW w:type="dxa" w:w="2592"/>
            <w:shd w:fill="FFFFFF"/>
            <w:tcMar>
              <w:top w:w="80" w:type="dxa"/>
              <w:bottom w:w="80" w:type="dxa"/>
              <w:left w:w="120" w:type="dxa"/>
              <w:right w:w="120" w:type="dxa"/>
            </w:tcMar>
          </w:tcPr>
          <w:p>
            <w:pPr>
              <w:spacing w:before="0" w:after="40" w:line="276" w:lineRule="auto"/>
            </w:pPr>
            <w:r>
              <w:rPr>
                <w:rFonts w:ascii="Calibri" w:hAnsi="Calibri"/>
                <w:color w:val="2C3E50"/>
                <w:sz w:val="17"/>
              </w:rPr>
              <w:t>(item_id, transaction_date)</w:t>
            </w:r>
          </w:p>
        </w:tc>
        <w:tc>
          <w:tcPr>
            <w:tcW w:type="dxa" w:w="1728"/>
            <w:shd w:fill="FFFFFF"/>
            <w:tcMar>
              <w:top w:w="80" w:type="dxa"/>
              <w:bottom w:w="80" w:type="dxa"/>
              <w:left w:w="120" w:type="dxa"/>
              <w:right w:w="120" w:type="dxa"/>
            </w:tcMar>
          </w:tcPr>
          <w:p>
            <w:pPr>
              <w:spacing w:before="0" w:after="40" w:line="276" w:lineRule="auto"/>
            </w:pPr>
            <w:r>
              <w:rPr>
                <w:rFonts w:ascii="Calibri" w:hAnsi="Calibri"/>
                <w:color w:val="2C3E50"/>
                <w:sz w:val="17"/>
              </w:rPr>
              <w:t>B-Tree Composite</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Optimizes perpetual inventory balance calculation and low stock checks.</w:t>
            </w:r>
          </w:p>
        </w:tc>
      </w:tr>
      <w:tr>
        <w:tc>
          <w:tcPr>
            <w:tcW w:type="dxa" w:w="2016"/>
            <w:shd w:fill="F8FAFC"/>
            <w:tcMar>
              <w:top w:w="80" w:type="dxa"/>
              <w:bottom w:w="80" w:type="dxa"/>
              <w:left w:w="120" w:type="dxa"/>
              <w:right w:w="120" w:type="dxa"/>
            </w:tcMar>
          </w:tcPr>
          <w:p>
            <w:pPr>
              <w:spacing w:before="0" w:after="40" w:line="276" w:lineRule="auto"/>
            </w:pPr>
            <w:r>
              <w:rPr>
                <w:rFonts w:ascii="Calibri" w:hAnsi="Calibri"/>
                <w:color w:val="2C3E50"/>
                <w:sz w:val="17"/>
              </w:rPr>
              <w:t>audit_logs</w:t>
            </w:r>
          </w:p>
        </w:tc>
        <w:tc>
          <w:tcPr>
            <w:tcW w:type="dxa" w:w="2592"/>
            <w:shd w:fill="F8FAFC"/>
            <w:tcMar>
              <w:top w:w="80" w:type="dxa"/>
              <w:bottom w:w="80" w:type="dxa"/>
              <w:left w:w="120" w:type="dxa"/>
              <w:right w:w="120" w:type="dxa"/>
            </w:tcMar>
          </w:tcPr>
          <w:p>
            <w:pPr>
              <w:spacing w:before="0" w:after="40" w:line="276" w:lineRule="auto"/>
            </w:pPr>
            <w:r>
              <w:rPr>
                <w:rFonts w:ascii="Calibri" w:hAnsi="Calibri"/>
                <w:color w:val="2C3E50"/>
                <w:sz w:val="17"/>
              </w:rPr>
              <w:t>(table_name, record_id, created_at)</w:t>
            </w:r>
          </w:p>
        </w:tc>
        <w:tc>
          <w:tcPr>
            <w:tcW w:type="dxa" w:w="1728"/>
            <w:shd w:fill="F8FAFC"/>
            <w:tcMar>
              <w:top w:w="80" w:type="dxa"/>
              <w:bottom w:w="80" w:type="dxa"/>
              <w:left w:w="120" w:type="dxa"/>
              <w:right w:w="120" w:type="dxa"/>
            </w:tcMar>
          </w:tcPr>
          <w:p>
            <w:pPr>
              <w:spacing w:before="0" w:after="40" w:line="276" w:lineRule="auto"/>
            </w:pPr>
            <w:r>
              <w:rPr>
                <w:rFonts w:ascii="Calibri" w:hAnsi="Calibri"/>
                <w:color w:val="2C3E50"/>
                <w:sz w:val="17"/>
              </w:rPr>
              <w:t>B-Tree Composite</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Fast retrieval of record modification history in UI audit sidebars.</w:t>
            </w:r>
          </w:p>
        </w:tc>
      </w:tr>
    </w:tbl>
    <w:p>
      <w:pPr>
        <w:spacing w:before="0" w:after="120"/>
      </w:pPr>
    </w:p>
    <w:p>
      <w:pPr>
        <w:keepNext/>
        <w:spacing w:before="280" w:after="80"/>
      </w:pPr>
      <w:r>
        <w:rPr>
          <w:rFonts w:ascii="Calibri" w:hAnsi="Calibri"/>
          <w:b/>
          <w:color w:val="2B547E"/>
          <w:sz w:val="25"/>
        </w:rPr>
        <w:t>9.2 Table Partitioning Strategy</w:t>
      </w:r>
    </w:p>
    <w:p>
      <w:pPr>
        <w:pStyle w:val="ListBullet"/>
        <w:spacing w:before="0" w:after="50" w:line="276" w:lineRule="auto"/>
      </w:pPr>
      <w:r>
        <w:rPr>
          <w:rFonts w:ascii="Calibri" w:hAnsi="Calibri"/>
          <w:b/>
          <w:color w:val="1B365D"/>
          <w:sz w:val="20"/>
        </w:rPr>
        <w:t xml:space="preserve">journal_entries &amp; journal_lines: </w:t>
      </w:r>
      <w:r>
        <w:rPr>
          <w:rFonts w:ascii="Calibri" w:hAnsi="Calibri"/>
          <w:color w:val="2C3E50"/>
          <w:sz w:val="20"/>
        </w:rPr>
        <w:t>Range partitioned by fiscal year (`fy_id` / `voucher_date`) to prevent performance degradation as historical financial records scale over multi-year operation.</w:t>
      </w:r>
    </w:p>
    <w:p>
      <w:pPr>
        <w:pStyle w:val="ListBullet"/>
        <w:spacing w:before="0" w:after="50" w:line="276" w:lineRule="auto"/>
      </w:pPr>
      <w:r>
        <w:rPr>
          <w:rFonts w:ascii="Calibri" w:hAnsi="Calibri"/>
          <w:b/>
          <w:color w:val="1B365D"/>
          <w:sz w:val="20"/>
        </w:rPr>
        <w:t xml:space="preserve">gst_transactions: </w:t>
      </w:r>
      <w:r>
        <w:rPr>
          <w:rFonts w:ascii="Calibri" w:hAnsi="Calibri"/>
          <w:color w:val="2C3E50"/>
          <w:sz w:val="20"/>
        </w:rPr>
        <w:t>Range partitioned by monthly tax period (`return_period`) for efficient return filing and archival.</w:t>
      </w:r>
    </w:p>
    <w:p>
      <w:pPr>
        <w:pStyle w:val="ListBullet"/>
        <w:spacing w:before="0" w:after="50" w:line="276" w:lineRule="auto"/>
      </w:pPr>
      <w:r>
        <w:rPr>
          <w:rFonts w:ascii="Calibri" w:hAnsi="Calibri"/>
          <w:b/>
          <w:color w:val="1B365D"/>
          <w:sz w:val="20"/>
        </w:rPr>
        <w:t xml:space="preserve">audit_logs: </w:t>
      </w:r>
      <w:r>
        <w:rPr>
          <w:rFonts w:ascii="Calibri" w:hAnsi="Calibri"/>
          <w:color w:val="2C3E50"/>
          <w:sz w:val="20"/>
        </w:rPr>
        <w:t>Monthly range partitioning with automated cold storage archival policy after 7 statutory years.</w:t>
      </w:r>
    </w:p>
    <w:p>
      <w:pPr>
        <w:keepNext/>
        <w:spacing w:before="280" w:after="80"/>
      </w:pPr>
      <w:r>
        <w:rPr>
          <w:rFonts w:ascii="Calibri" w:hAnsi="Calibri"/>
          <w:b/>
          <w:color w:val="2B547E"/>
          <w:sz w:val="25"/>
        </w:rPr>
        <w:t>9.3 Database Security &amp; Integrity Rules</w:t>
      </w:r>
    </w:p>
    <w:p>
      <w:pPr>
        <w:pStyle w:val="ListBullet"/>
        <w:spacing w:before="0" w:after="50" w:line="276" w:lineRule="auto"/>
      </w:pPr>
      <w:r>
        <w:rPr>
          <w:rFonts w:ascii="Calibri" w:hAnsi="Calibri"/>
          <w:b/>
          <w:color w:val="1B365D"/>
          <w:sz w:val="20"/>
        </w:rPr>
        <w:t xml:space="preserve">Encrypted In-Transit: </w:t>
      </w:r>
      <w:r>
        <w:rPr>
          <w:rFonts w:ascii="Calibri" w:hAnsi="Calibri"/>
          <w:color w:val="2C3E50"/>
          <w:sz w:val="20"/>
        </w:rPr>
        <w:t>All database connections must use TLS/SSL encryption with strict certificate validation.</w:t>
      </w:r>
    </w:p>
    <w:p>
      <w:pPr>
        <w:pStyle w:val="ListBullet"/>
        <w:spacing w:before="0" w:after="50" w:line="276" w:lineRule="auto"/>
      </w:pPr>
      <w:r>
        <w:rPr>
          <w:rFonts w:ascii="Calibri" w:hAnsi="Calibri"/>
          <w:b/>
          <w:color w:val="1B365D"/>
          <w:sz w:val="20"/>
        </w:rPr>
        <w:t xml:space="preserve">Encrypted At-Rest: </w:t>
      </w:r>
      <w:r>
        <w:rPr>
          <w:rFonts w:ascii="Calibri" w:hAnsi="Calibri"/>
          <w:color w:val="2C3E50"/>
          <w:sz w:val="20"/>
        </w:rPr>
        <w:t>Sensitive fields (password hashes, bank account numbers, PAN, Aadhaar) encrypted via AES-256 at database block level.</w:t>
      </w:r>
    </w:p>
    <w:p>
      <w:pPr>
        <w:pStyle w:val="ListBullet"/>
        <w:spacing w:before="0" w:after="50" w:line="276" w:lineRule="auto"/>
      </w:pPr>
      <w:r>
        <w:rPr>
          <w:rFonts w:ascii="Calibri" w:hAnsi="Calibri"/>
          <w:b/>
          <w:color w:val="1B365D"/>
          <w:sz w:val="20"/>
        </w:rPr>
        <w:t xml:space="preserve">Foreign Key Integrity: </w:t>
      </w:r>
      <w:r>
        <w:rPr>
          <w:rFonts w:ascii="Calibri" w:hAnsi="Calibri"/>
          <w:color w:val="2C3E50"/>
          <w:sz w:val="20"/>
        </w:rPr>
        <w:t>Foreign keys must use `ON DELETE RESTRICT` for all financial, inventory, and master records to prevent cascading accidental data corruption.</w:t>
      </w:r>
    </w:p>
    <w:p>
      <w:pPr>
        <w:pStyle w:val="ListBullet"/>
        <w:spacing w:before="0" w:after="50" w:line="276" w:lineRule="auto"/>
      </w:pPr>
      <w:r>
        <w:rPr>
          <w:rFonts w:ascii="Calibri" w:hAnsi="Calibri"/>
          <w:b/>
          <w:color w:val="1B365D"/>
          <w:sz w:val="20"/>
        </w:rPr>
        <w:t xml:space="preserve">Zero Physical Deletion: </w:t>
      </w:r>
      <w:r>
        <w:rPr>
          <w:rFonts w:ascii="Calibri" w:hAnsi="Calibri"/>
          <w:color w:val="2C3E50"/>
          <w:sz w:val="20"/>
        </w:rPr>
        <w:t>Financial transactions (invoices, bills, receipts, disbursements) never allow physical SQL `DELETE`. Modifications require authorized cancellation or reversal vouchers.</w:t>
      </w:r>
    </w:p>
    <w:p>
      <w:pPr>
        <w:keepNext/>
        <w:spacing w:before="360" w:after="120"/>
      </w:pPr>
      <w:r>
        <w:rPr>
          <w:rFonts w:ascii="Calibri" w:hAnsi="Calibri"/>
          <w:b/>
          <w:color w:val="1B365D"/>
          <w:sz w:val="30"/>
        </w:rPr>
        <w:t>10. Non-Functional Requirements &amp; Disaster Recovery</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312"/>
        <w:gridCol w:w="3312"/>
        <w:gridCol w:w="3312"/>
      </w:tblGrid>
      <w:tr>
        <w:tc>
          <w:tcPr>
            <w:tcW w:type="dxa" w:w="2160"/>
            <w:shd w:fill="1B365D"/>
            <w:tcMar>
              <w:top w:w="120" w:type="dxa"/>
              <w:bottom w:w="120" w:type="dxa"/>
              <w:left w:w="140" w:type="dxa"/>
              <w:right w:w="140" w:type="dxa"/>
            </w:tcMar>
          </w:tcPr>
          <w:p>
            <w:pPr>
              <w:spacing w:before="0" w:after="0"/>
            </w:pPr>
            <w:r>
              <w:rPr>
                <w:rFonts w:ascii="Calibri" w:hAnsi="Calibri"/>
                <w:b/>
                <w:color w:val="FFFFFF"/>
                <w:sz w:val="18"/>
              </w:rPr>
              <w:t>NFR Domain</w:t>
            </w:r>
          </w:p>
        </w:tc>
        <w:tc>
          <w:tcPr>
            <w:tcW w:type="dxa" w:w="4752"/>
            <w:shd w:fill="1B365D"/>
            <w:tcMar>
              <w:top w:w="120" w:type="dxa"/>
              <w:bottom w:w="120" w:type="dxa"/>
              <w:left w:w="140" w:type="dxa"/>
              <w:right w:w="140" w:type="dxa"/>
            </w:tcMar>
          </w:tcPr>
          <w:p>
            <w:pPr>
              <w:spacing w:before="0" w:after="0"/>
            </w:pPr>
            <w:r>
              <w:rPr>
                <w:rFonts w:ascii="Calibri" w:hAnsi="Calibri"/>
                <w:b/>
                <w:color w:val="FFFFFF"/>
                <w:sz w:val="18"/>
              </w:rPr>
              <w:t>Technical Requirement</w:t>
            </w:r>
          </w:p>
        </w:tc>
        <w:tc>
          <w:tcPr>
            <w:tcW w:type="dxa" w:w="2592"/>
            <w:shd w:fill="1B365D"/>
            <w:tcMar>
              <w:top w:w="120" w:type="dxa"/>
              <w:bottom w:w="120" w:type="dxa"/>
              <w:left w:w="140" w:type="dxa"/>
              <w:right w:w="140" w:type="dxa"/>
            </w:tcMar>
          </w:tcPr>
          <w:p>
            <w:pPr>
              <w:spacing w:before="0" w:after="0"/>
            </w:pPr>
            <w:r>
              <w:rPr>
                <w:rFonts w:ascii="Calibri" w:hAnsi="Calibri"/>
                <w:b/>
                <w:color w:val="FFFFFF"/>
                <w:sz w:val="18"/>
              </w:rPr>
              <w:t>Target Metric / SLA</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Page Load Performance</w:t>
            </w:r>
          </w:p>
        </w:tc>
        <w:tc>
          <w:tcPr>
            <w:tcW w:type="dxa" w:w="4752"/>
            <w:shd w:fill="FFFFFF"/>
            <w:tcMar>
              <w:top w:w="80" w:type="dxa"/>
              <w:bottom w:w="80" w:type="dxa"/>
              <w:left w:w="120" w:type="dxa"/>
              <w:right w:w="120" w:type="dxa"/>
            </w:tcMar>
          </w:tcPr>
          <w:p>
            <w:pPr>
              <w:spacing w:before="0" w:after="40" w:line="276" w:lineRule="auto"/>
            </w:pPr>
            <w:r>
              <w:rPr>
                <w:rFonts w:ascii="Calibri" w:hAnsi="Calibri"/>
                <w:color w:val="2C3E50"/>
                <w:sz w:val="17"/>
              </w:rPr>
              <w:t>Initial dashboard and complex list screens must render quickly under standard broadband.</w:t>
            </w:r>
          </w:p>
        </w:tc>
        <w:tc>
          <w:tcPr>
            <w:tcW w:type="dxa" w:w="2592"/>
            <w:shd w:fill="FFFFFF"/>
            <w:tcMar>
              <w:top w:w="80" w:type="dxa"/>
              <w:bottom w:w="80" w:type="dxa"/>
              <w:left w:w="120" w:type="dxa"/>
              <w:right w:w="120" w:type="dxa"/>
            </w:tcMar>
          </w:tcPr>
          <w:p>
            <w:pPr>
              <w:spacing w:before="0" w:after="40" w:line="276" w:lineRule="auto"/>
            </w:pPr>
            <w:r>
              <w:rPr>
                <w:rFonts w:ascii="Calibri" w:hAnsi="Calibri"/>
                <w:color w:val="2C3E50"/>
                <w:sz w:val="17"/>
              </w:rPr>
              <w:t>&lt; 1.5 seconds response time.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API Response Latency</w:t>
            </w:r>
          </w:p>
        </w:tc>
        <w:tc>
          <w:tcPr>
            <w:tcW w:type="dxa" w:w="4752"/>
            <w:shd w:fill="F8FAFC"/>
            <w:tcMar>
              <w:top w:w="80" w:type="dxa"/>
              <w:bottom w:w="80" w:type="dxa"/>
              <w:left w:w="120" w:type="dxa"/>
              <w:right w:w="120" w:type="dxa"/>
            </w:tcMar>
          </w:tcPr>
          <w:p>
            <w:pPr>
              <w:spacing w:before="0" w:after="40" w:line="276" w:lineRule="auto"/>
            </w:pPr>
            <w:r>
              <w:rPr>
                <w:rFonts w:ascii="Calibri" w:hAnsi="Calibri"/>
                <w:color w:val="2C3E50"/>
                <w:sz w:val="17"/>
              </w:rPr>
              <w:t>Core CRUD and report queries must execute with minimal backend overhead.</w:t>
            </w:r>
          </w:p>
        </w:tc>
        <w:tc>
          <w:tcPr>
            <w:tcW w:type="dxa" w:w="2592"/>
            <w:shd w:fill="F8FAFC"/>
            <w:tcMar>
              <w:top w:w="80" w:type="dxa"/>
              <w:bottom w:w="80" w:type="dxa"/>
              <w:left w:w="120" w:type="dxa"/>
              <w:right w:w="120" w:type="dxa"/>
            </w:tcMar>
          </w:tcPr>
          <w:p>
            <w:pPr>
              <w:spacing w:before="0" w:after="40" w:line="276" w:lineRule="auto"/>
            </w:pPr>
            <w:r>
              <w:rPr>
                <w:rFonts w:ascii="Calibri" w:hAnsi="Calibri"/>
                <w:color w:val="2C3E50"/>
                <w:sz w:val="17"/>
              </w:rPr>
              <w:t>&lt; 200 ms for 95th percentile requests.</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System Availability</w:t>
            </w:r>
          </w:p>
        </w:tc>
        <w:tc>
          <w:tcPr>
            <w:tcW w:type="dxa" w:w="4752"/>
            <w:shd w:fill="FFFFFF"/>
            <w:tcMar>
              <w:top w:w="80" w:type="dxa"/>
              <w:bottom w:w="80" w:type="dxa"/>
              <w:left w:w="120" w:type="dxa"/>
              <w:right w:w="120" w:type="dxa"/>
            </w:tcMar>
          </w:tcPr>
          <w:p>
            <w:pPr>
              <w:spacing w:before="0" w:after="40" w:line="276" w:lineRule="auto"/>
            </w:pPr>
            <w:r>
              <w:rPr>
                <w:rFonts w:ascii="Calibri" w:hAnsi="Calibri"/>
                <w:color w:val="2C3E50"/>
                <w:sz w:val="17"/>
              </w:rPr>
              <w:t>High-availability multi-instance deployment with auto-failover database clustering.</w:t>
            </w:r>
          </w:p>
        </w:tc>
        <w:tc>
          <w:tcPr>
            <w:tcW w:type="dxa" w:w="2592"/>
            <w:shd w:fill="FFFFFF"/>
            <w:tcMar>
              <w:top w:w="80" w:type="dxa"/>
              <w:bottom w:w="80" w:type="dxa"/>
              <w:left w:w="120" w:type="dxa"/>
              <w:right w:w="120" w:type="dxa"/>
            </w:tcMar>
          </w:tcPr>
          <w:p>
            <w:pPr>
              <w:spacing w:before="0" w:after="40" w:line="276" w:lineRule="auto"/>
            </w:pPr>
            <w:r>
              <w:rPr>
                <w:rFonts w:ascii="Calibri" w:hAnsi="Calibri"/>
                <w:color w:val="2C3E50"/>
                <w:sz w:val="17"/>
              </w:rPr>
              <w:t>99.9% uptime (excluding scheduled maintenance).</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Concurrent Users</w:t>
            </w:r>
          </w:p>
        </w:tc>
        <w:tc>
          <w:tcPr>
            <w:tcW w:type="dxa" w:w="4752"/>
            <w:shd w:fill="F8FAFC"/>
            <w:tcMar>
              <w:top w:w="80" w:type="dxa"/>
              <w:bottom w:w="80" w:type="dxa"/>
              <w:left w:w="120" w:type="dxa"/>
              <w:right w:w="120" w:type="dxa"/>
            </w:tcMar>
          </w:tcPr>
          <w:p>
            <w:pPr>
              <w:spacing w:before="0" w:after="40" w:line="276" w:lineRule="auto"/>
            </w:pPr>
            <w:r>
              <w:rPr>
                <w:rFonts w:ascii="Calibri" w:hAnsi="Calibri"/>
                <w:color w:val="2C3E50"/>
                <w:sz w:val="17"/>
              </w:rPr>
              <w:t>System must support simultaneous active users across all company branches.</w:t>
            </w:r>
          </w:p>
        </w:tc>
        <w:tc>
          <w:tcPr>
            <w:tcW w:type="dxa" w:w="2592"/>
            <w:shd w:fill="F8FAFC"/>
            <w:tcMar>
              <w:top w:w="80" w:type="dxa"/>
              <w:bottom w:w="80" w:type="dxa"/>
              <w:left w:w="120" w:type="dxa"/>
              <w:right w:w="120" w:type="dxa"/>
            </w:tcMar>
          </w:tcPr>
          <w:p>
            <w:pPr>
              <w:spacing w:before="0" w:after="40" w:line="276" w:lineRule="auto"/>
            </w:pPr>
            <w:r>
              <w:rPr>
                <w:rFonts w:ascii="Calibri" w:hAnsi="Calibri"/>
                <w:color w:val="2C3E50"/>
                <w:sz w:val="17"/>
              </w:rPr>
              <w:t>Minimum 250 concurrent active sessions.</w:t>
            </w:r>
          </w:p>
        </w:tc>
      </w:tr>
      <w:tr>
        <w:tc>
          <w:tcPr>
            <w:tcW w:type="dxa" w:w="2160"/>
            <w:shd w:fill="FFFFFF"/>
            <w:tcMar>
              <w:top w:w="80" w:type="dxa"/>
              <w:bottom w:w="80" w:type="dxa"/>
              <w:left w:w="120" w:type="dxa"/>
              <w:right w:w="120" w:type="dxa"/>
            </w:tcMar>
          </w:tcPr>
          <w:p>
            <w:pPr>
              <w:spacing w:before="0" w:after="40" w:line="276" w:lineRule="auto"/>
            </w:pPr>
            <w:r>
              <w:rPr>
                <w:rFonts w:ascii="Calibri" w:hAnsi="Calibri"/>
                <w:color w:val="2C3E50"/>
                <w:sz w:val="17"/>
              </w:rPr>
              <w:t>Data Recovery Point (RPO)</w:t>
            </w:r>
          </w:p>
        </w:tc>
        <w:tc>
          <w:tcPr>
            <w:tcW w:type="dxa" w:w="4752"/>
            <w:shd w:fill="FFFFFF"/>
            <w:tcMar>
              <w:top w:w="80" w:type="dxa"/>
              <w:bottom w:w="80" w:type="dxa"/>
              <w:left w:w="120" w:type="dxa"/>
              <w:right w:w="120" w:type="dxa"/>
            </w:tcMar>
          </w:tcPr>
          <w:p>
            <w:pPr>
              <w:spacing w:before="0" w:after="40" w:line="276" w:lineRule="auto"/>
            </w:pPr>
            <w:r>
              <w:rPr>
                <w:rFonts w:ascii="Calibri" w:hAnsi="Calibri"/>
                <w:color w:val="2C3E50"/>
                <w:sz w:val="17"/>
              </w:rPr>
              <w:t>Maximum acceptable data loss in catastrophic infrastructure failure event.</w:t>
            </w:r>
          </w:p>
        </w:tc>
        <w:tc>
          <w:tcPr>
            <w:tcW w:type="dxa" w:w="2592"/>
            <w:shd w:fill="FFFFFF"/>
            <w:tcMar>
              <w:top w:w="80" w:type="dxa"/>
              <w:bottom w:w="80" w:type="dxa"/>
              <w:left w:w="120" w:type="dxa"/>
              <w:right w:w="120" w:type="dxa"/>
            </w:tcMar>
          </w:tcPr>
          <w:p>
            <w:pPr>
              <w:spacing w:before="0" w:after="40" w:line="276" w:lineRule="auto"/>
            </w:pPr>
            <w:r>
              <w:rPr>
                <w:rFonts w:ascii="Calibri" w:hAnsi="Calibri"/>
                <w:color w:val="2C3E50"/>
                <w:sz w:val="17"/>
              </w:rPr>
              <w:t>RPO &lt; 15 minutes (via continuous WAL archiving).</w:t>
            </w:r>
          </w:p>
        </w:tc>
      </w:tr>
      <w:tr>
        <w:tc>
          <w:tcPr>
            <w:tcW w:type="dxa" w:w="2160"/>
            <w:shd w:fill="F8FAFC"/>
            <w:tcMar>
              <w:top w:w="80" w:type="dxa"/>
              <w:bottom w:w="80" w:type="dxa"/>
              <w:left w:w="120" w:type="dxa"/>
              <w:right w:w="120" w:type="dxa"/>
            </w:tcMar>
          </w:tcPr>
          <w:p>
            <w:pPr>
              <w:spacing w:before="0" w:after="40" w:line="276" w:lineRule="auto"/>
            </w:pPr>
            <w:r>
              <w:rPr>
                <w:rFonts w:ascii="Calibri" w:hAnsi="Calibri"/>
                <w:color w:val="2C3E50"/>
                <w:sz w:val="17"/>
              </w:rPr>
              <w:t>Data Recovery Time (RTO)</w:t>
            </w:r>
          </w:p>
        </w:tc>
        <w:tc>
          <w:tcPr>
            <w:tcW w:type="dxa" w:w="4752"/>
            <w:shd w:fill="F8FAFC"/>
            <w:tcMar>
              <w:top w:w="80" w:type="dxa"/>
              <w:bottom w:w="80" w:type="dxa"/>
              <w:left w:w="120" w:type="dxa"/>
              <w:right w:w="120" w:type="dxa"/>
            </w:tcMar>
          </w:tcPr>
          <w:p>
            <w:pPr>
              <w:spacing w:before="0" w:after="40" w:line="276" w:lineRule="auto"/>
            </w:pPr>
            <w:r>
              <w:rPr>
                <w:rFonts w:ascii="Calibri" w:hAnsi="Calibri"/>
                <w:color w:val="2C3E50"/>
                <w:sz w:val="17"/>
              </w:rPr>
              <w:t>Maximum acceptable time to restore complete operational system from backup.</w:t>
            </w:r>
          </w:p>
        </w:tc>
        <w:tc>
          <w:tcPr>
            <w:tcW w:type="dxa" w:w="2592"/>
            <w:shd w:fill="F8FAFC"/>
            <w:tcMar>
              <w:top w:w="80" w:type="dxa"/>
              <w:bottom w:w="80" w:type="dxa"/>
              <w:left w:w="120" w:type="dxa"/>
              <w:right w:w="120" w:type="dxa"/>
            </w:tcMar>
          </w:tcPr>
          <w:p>
            <w:pPr>
              <w:spacing w:before="0" w:after="40" w:line="276" w:lineRule="auto"/>
            </w:pPr>
            <w:r>
              <w:rPr>
                <w:rFonts w:ascii="Calibri" w:hAnsi="Calibri"/>
                <w:color w:val="2C3E50"/>
                <w:sz w:val="17"/>
              </w:rPr>
              <w:t>RTO &lt; 2 hours.</w:t>
            </w:r>
          </w:p>
        </w:tc>
      </w:tr>
    </w:tbl>
    <w:p>
      <w:pPr>
        <w:spacing w:before="0" w:after="120"/>
      </w:pPr>
    </w:p>
    <w:p>
      <w:pPr>
        <w:keepNext/>
        <w:spacing w:before="280" w:after="80"/>
      </w:pPr>
      <w:r>
        <w:rPr>
          <w:rFonts w:ascii="Calibri" w:hAnsi="Calibri"/>
          <w:b/>
          <w:color w:val="2B547E"/>
          <w:sz w:val="25"/>
        </w:rPr>
        <w:t>10.1 Automated Backup &amp; Restore Protocols</w:t>
      </w:r>
    </w:p>
    <w:p>
      <w:pPr>
        <w:pStyle w:val="ListBullet"/>
        <w:spacing w:before="0" w:after="50" w:line="276" w:lineRule="auto"/>
      </w:pPr>
      <w:r>
        <w:rPr>
          <w:rFonts w:ascii="Calibri" w:hAnsi="Calibri"/>
          <w:b/>
          <w:color w:val="1B365D"/>
          <w:sz w:val="20"/>
        </w:rPr>
        <w:t xml:space="preserve">Daily Full Backup: </w:t>
      </w:r>
      <w:r>
        <w:rPr>
          <w:rFonts w:ascii="Calibri" w:hAnsi="Calibri"/>
          <w:color w:val="2C3E50"/>
          <w:sz w:val="20"/>
        </w:rPr>
        <w:t>Full binary database backup executed daily at 02:00 AM off-peak, encrypted and replicated to off-site cloud storage.</w:t>
      </w:r>
    </w:p>
    <w:p>
      <w:pPr>
        <w:pStyle w:val="ListBullet"/>
        <w:spacing w:before="0" w:after="50" w:line="276" w:lineRule="auto"/>
      </w:pPr>
      <w:r>
        <w:rPr>
          <w:rFonts w:ascii="Calibri" w:hAnsi="Calibri"/>
          <w:b/>
          <w:color w:val="1B365D"/>
          <w:sz w:val="20"/>
        </w:rPr>
        <w:t xml:space="preserve">Transaction Log Archiving: </w:t>
      </w:r>
      <w:r>
        <w:rPr>
          <w:rFonts w:ascii="Calibri" w:hAnsi="Calibri"/>
          <w:color w:val="2C3E50"/>
          <w:sz w:val="20"/>
        </w:rPr>
        <w:t>Continuous PostgreSQL Write-Ahead Logging (WAL) / MySQL binary logging captured every 15 minutes for Point-In-Time Recovery (PITR).</w:t>
      </w:r>
    </w:p>
    <w:p>
      <w:pPr>
        <w:pStyle w:val="ListBullet"/>
        <w:spacing w:before="0" w:after="50" w:line="276" w:lineRule="auto"/>
      </w:pPr>
      <w:r>
        <w:rPr>
          <w:rFonts w:ascii="Calibri" w:hAnsi="Calibri"/>
          <w:b/>
          <w:color w:val="1B365D"/>
          <w:sz w:val="20"/>
        </w:rPr>
        <w:t xml:space="preserve">Automated Restore Validation: </w:t>
      </w:r>
      <w:r>
        <w:rPr>
          <w:rFonts w:ascii="Calibri" w:hAnsi="Calibri"/>
          <w:color w:val="2C3E50"/>
          <w:sz w:val="20"/>
        </w:rPr>
        <w:t>Automated sandbox restoration script executes every Sunday at 04:00 AM to verify backup integrity and test disaster recovery procedures.</w:t>
      </w:r>
    </w:p>
    <w:p>
      <w:pPr>
        <w:keepNext/>
        <w:spacing w:before="360" w:after="120"/>
      </w:pPr>
      <w:r>
        <w:rPr>
          <w:rFonts w:ascii="Calibri" w:hAnsi="Calibri"/>
          <w:b/>
          <w:color w:val="1B365D"/>
          <w:sz w:val="30"/>
        </w:rPr>
        <w:t>11. Developer Implementation Rules &amp; UAT Acceptance Checklist</w:t>
      </w:r>
    </w:p>
    <w:p>
      <w:pPr>
        <w:spacing w:before="0" w:after="80" w:line="276" w:lineRule="auto"/>
      </w:pPr>
      <w:r>
        <w:rPr>
          <w:rFonts w:ascii="Calibri" w:hAnsi="Calibri"/>
          <w:color w:val="2C3E50"/>
          <w:sz w:val="20"/>
        </w:rPr>
        <w:t>To ensure engineering consistency across frontend and backend development teams, all software engineers must adhere to the following mandatory development rules.</w:t>
      </w:r>
    </w:p>
    <w:p>
      <w:pPr>
        <w:keepNext/>
        <w:spacing w:before="280" w:after="80"/>
      </w:pPr>
      <w:r>
        <w:rPr>
          <w:rFonts w:ascii="Calibri" w:hAnsi="Calibri"/>
          <w:b/>
          <w:color w:val="2B547E"/>
          <w:sz w:val="25"/>
        </w:rPr>
        <w:t>11.1 Mandatory Developer Implementation Rules</w:t>
      </w:r>
    </w:p>
    <w:p>
      <w:pPr>
        <w:pStyle w:val="ListBullet"/>
        <w:spacing w:before="0" w:after="50" w:line="276" w:lineRule="auto"/>
      </w:pPr>
      <w:r>
        <w:rPr>
          <w:rFonts w:ascii="Calibri" w:hAnsi="Calibri"/>
          <w:b/>
          <w:color w:val="1B365D"/>
          <w:sz w:val="20"/>
        </w:rPr>
        <w:t xml:space="preserve">Rule 1 (Centralized Masters): </w:t>
      </w:r>
      <w:r>
        <w:rPr>
          <w:rFonts w:ascii="Calibri" w:hAnsi="Calibri"/>
          <w:color w:val="2C3E50"/>
          <w:sz w:val="20"/>
        </w:rPr>
        <w:t>Do not duplicate Client, Vendor, Employee, Item, or Bank master records for individual modules. All forms must bind to the centralized Master tables.</w:t>
      </w:r>
    </w:p>
    <w:p>
      <w:pPr>
        <w:pStyle w:val="ListBullet"/>
        <w:spacing w:before="0" w:after="50" w:line="276" w:lineRule="auto"/>
      </w:pPr>
      <w:r>
        <w:rPr>
          <w:rFonts w:ascii="Calibri" w:hAnsi="Calibri"/>
          <w:b/>
          <w:color w:val="1B365D"/>
          <w:sz w:val="20"/>
        </w:rPr>
        <w:t xml:space="preserve">Rule 2 (Atomic Transactions): </w:t>
      </w:r>
      <w:r>
        <w:rPr>
          <w:rFonts w:ascii="Calibri" w:hAnsi="Calibri"/>
          <w:color w:val="2C3E50"/>
          <w:sz w:val="20"/>
        </w:rPr>
        <w:t>Do not implement financial or inventory modules as isolated CRUD screens. Every transactional update must execute within a database transaction boundary (`BEGIN ... COMMIT`).</w:t>
      </w:r>
    </w:p>
    <w:p>
      <w:pPr>
        <w:pStyle w:val="ListBullet"/>
        <w:spacing w:before="0" w:after="50" w:line="276" w:lineRule="auto"/>
      </w:pPr>
      <w:r>
        <w:rPr>
          <w:rFonts w:ascii="Calibri" w:hAnsi="Calibri"/>
          <w:b/>
          <w:color w:val="1B365D"/>
          <w:sz w:val="20"/>
        </w:rPr>
        <w:t xml:space="preserve">Rule 3 (Balanced Ledgers): </w:t>
      </w:r>
      <w:r>
        <w:rPr>
          <w:rFonts w:ascii="Calibri" w:hAnsi="Calibri"/>
          <w:color w:val="2C3E50"/>
          <w:sz w:val="20"/>
        </w:rPr>
        <w:t>Every financial transaction must balance (`SUM(debit) == SUM(credit)`) before committing. Never allow unbalanced ledger postings.</w:t>
      </w:r>
    </w:p>
    <w:p>
      <w:pPr>
        <w:pStyle w:val="ListBullet"/>
        <w:spacing w:before="0" w:after="50" w:line="276" w:lineRule="auto"/>
      </w:pPr>
      <w:r>
        <w:rPr>
          <w:rFonts w:ascii="Calibri" w:hAnsi="Calibri"/>
          <w:b/>
          <w:color w:val="1B365D"/>
          <w:sz w:val="20"/>
        </w:rPr>
        <w:t xml:space="preserve">Rule 4 (Inventory Scope): </w:t>
      </w:r>
      <w:r>
        <w:rPr>
          <w:rFonts w:ascii="Calibri" w:hAnsi="Calibri"/>
          <w:color w:val="2C3E50"/>
          <w:sz w:val="20"/>
        </w:rPr>
        <w:t>Office Inventory is strictly for internal non-commercial supplies. Do not build customer sales inventory or warehouse picking logic into this module.</w:t>
      </w:r>
    </w:p>
    <w:p>
      <w:pPr>
        <w:pStyle w:val="ListBullet"/>
        <w:spacing w:before="0" w:after="50" w:line="276" w:lineRule="auto"/>
      </w:pPr>
      <w:r>
        <w:rPr>
          <w:rFonts w:ascii="Calibri" w:hAnsi="Calibri"/>
          <w:b/>
          <w:color w:val="1B365D"/>
          <w:sz w:val="20"/>
        </w:rPr>
        <w:t xml:space="preserve">Rule 5 (Asset Separation): </w:t>
      </w:r>
      <w:r>
        <w:rPr>
          <w:rFonts w:ascii="Calibri" w:hAnsi="Calibri"/>
          <w:color w:val="2C3E50"/>
          <w:sz w:val="20"/>
        </w:rPr>
        <w:t>Durable high-value equipment (laptops, servers, furniture) must always flow to Module 11 (Asset Management) rather than consumable inventory.</w:t>
      </w:r>
    </w:p>
    <w:p>
      <w:pPr>
        <w:pStyle w:val="ListBullet"/>
        <w:spacing w:before="0" w:after="50" w:line="276" w:lineRule="auto"/>
      </w:pPr>
      <w:r>
        <w:rPr>
          <w:rFonts w:ascii="Calibri" w:hAnsi="Calibri"/>
          <w:b/>
          <w:color w:val="1B365D"/>
          <w:sz w:val="20"/>
        </w:rPr>
        <w:t xml:space="preserve">Rule 6 (Project Profitability): </w:t>
      </w:r>
      <w:r>
        <w:rPr>
          <w:rFonts w:ascii="Calibri" w:hAnsi="Calibri"/>
          <w:color w:val="2C3E50"/>
          <w:sz w:val="20"/>
        </w:rPr>
        <w:t>Project margins and P&amp;L must be computed dynamically by aggregating linked sales invoices, purchase bills, and direct expenses.</w:t>
      </w:r>
    </w:p>
    <w:p>
      <w:pPr>
        <w:pStyle w:val="ListBullet"/>
        <w:spacing w:before="0" w:after="50" w:line="276" w:lineRule="auto"/>
      </w:pPr>
      <w:r>
        <w:rPr>
          <w:rFonts w:ascii="Calibri" w:hAnsi="Calibri"/>
          <w:b/>
          <w:color w:val="1B365D"/>
          <w:sz w:val="20"/>
        </w:rPr>
        <w:t xml:space="preserve">Rule 7 (Project Closure Lock): </w:t>
      </w:r>
      <w:r>
        <w:rPr>
          <w:rFonts w:ascii="Calibri" w:hAnsi="Calibri"/>
          <w:color w:val="2C3E50"/>
          <w:sz w:val="20"/>
        </w:rPr>
        <w:t>Closed projects must be permanently protected from financial additions or edits unless explicit 'Reopen Project' administrative permission is granted.</w:t>
      </w:r>
    </w:p>
    <w:p>
      <w:pPr>
        <w:keepNext/>
        <w:spacing w:before="280" w:after="80"/>
      </w:pPr>
      <w:r>
        <w:rPr>
          <w:rFonts w:ascii="Calibri" w:hAnsi="Calibri"/>
          <w:b/>
          <w:color w:val="2B547E"/>
          <w:sz w:val="25"/>
        </w:rPr>
        <w:t>11.2 Comprehensive UAT Acceptance Checklist</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484"/>
        <w:gridCol w:w="2484"/>
        <w:gridCol w:w="2484"/>
        <w:gridCol w:w="2484"/>
      </w:tblGrid>
      <w:tr>
        <w:tc>
          <w:tcPr>
            <w:tcW w:type="dxa" w:w="1584"/>
            <w:shd w:fill="1B365D"/>
            <w:tcMar>
              <w:top w:w="120" w:type="dxa"/>
              <w:bottom w:w="120" w:type="dxa"/>
              <w:left w:w="140" w:type="dxa"/>
              <w:right w:w="140" w:type="dxa"/>
            </w:tcMar>
          </w:tcPr>
          <w:p>
            <w:pPr>
              <w:spacing w:before="0" w:after="0"/>
            </w:pPr>
            <w:r>
              <w:rPr>
                <w:rFonts w:ascii="Calibri" w:hAnsi="Calibri"/>
                <w:b/>
                <w:color w:val="FFFFFF"/>
                <w:sz w:val="18"/>
              </w:rPr>
              <w:t>Test Module</w:t>
            </w:r>
          </w:p>
        </w:tc>
        <w:tc>
          <w:tcPr>
            <w:tcW w:type="dxa" w:w="3600"/>
            <w:shd w:fill="1B365D"/>
            <w:tcMar>
              <w:top w:w="120" w:type="dxa"/>
              <w:bottom w:w="120" w:type="dxa"/>
              <w:left w:w="140" w:type="dxa"/>
              <w:right w:w="140" w:type="dxa"/>
            </w:tcMar>
          </w:tcPr>
          <w:p>
            <w:pPr>
              <w:spacing w:before="0" w:after="0"/>
            </w:pPr>
            <w:r>
              <w:rPr>
                <w:rFonts w:ascii="Calibri" w:hAnsi="Calibri"/>
                <w:b/>
                <w:color w:val="FFFFFF"/>
                <w:sz w:val="18"/>
              </w:rPr>
              <w:t>Verification Test Case Scenario</w:t>
            </w:r>
          </w:p>
        </w:tc>
        <w:tc>
          <w:tcPr>
            <w:tcW w:type="dxa" w:w="3168"/>
            <w:shd w:fill="1B365D"/>
            <w:tcMar>
              <w:top w:w="120" w:type="dxa"/>
              <w:bottom w:w="120" w:type="dxa"/>
              <w:left w:w="140" w:type="dxa"/>
              <w:right w:w="140" w:type="dxa"/>
            </w:tcMar>
          </w:tcPr>
          <w:p>
            <w:pPr>
              <w:spacing w:before="0" w:after="0"/>
            </w:pPr>
            <w:r>
              <w:rPr>
                <w:rFonts w:ascii="Calibri" w:hAnsi="Calibri"/>
                <w:b/>
                <w:color w:val="FFFFFF"/>
                <w:sz w:val="18"/>
              </w:rPr>
              <w:t>Expected Acceptance Outcome</w:t>
            </w:r>
          </w:p>
        </w:tc>
        <w:tc>
          <w:tcPr>
            <w:tcW w:type="dxa" w:w="1152"/>
            <w:shd w:fill="1B365D"/>
            <w:tcMar>
              <w:top w:w="120" w:type="dxa"/>
              <w:bottom w:w="120" w:type="dxa"/>
              <w:left w:w="140" w:type="dxa"/>
              <w:right w:w="140" w:type="dxa"/>
            </w:tcMar>
          </w:tcPr>
          <w:p>
            <w:pPr>
              <w:spacing w:before="0" w:after="0"/>
            </w:pPr>
            <w:r>
              <w:rPr>
                <w:rFonts w:ascii="Calibri" w:hAnsi="Calibri"/>
                <w:b/>
                <w:color w:val="FFFFFF"/>
                <w:sz w:val="18"/>
              </w:rPr>
              <w:t>Status</w:t>
            </w:r>
          </w:p>
        </w:tc>
      </w:tr>
      <w:tr>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Masters</w:t>
            </w:r>
          </w:p>
        </w:tc>
        <w:tc>
          <w:tcPr>
            <w:tcW w:type="dxa" w:w="3600"/>
            <w:shd w:fill="FFFFFF"/>
            <w:tcMar>
              <w:top w:w="80" w:type="dxa"/>
              <w:bottom w:w="80" w:type="dxa"/>
              <w:left w:w="120" w:type="dxa"/>
              <w:right w:w="120" w:type="dxa"/>
            </w:tcMar>
          </w:tcPr>
          <w:p>
            <w:pPr>
              <w:spacing w:before="0" w:after="40" w:line="276" w:lineRule="auto"/>
            </w:pPr>
            <w:r>
              <w:rPr>
                <w:rFonts w:ascii="Calibri" w:hAnsi="Calibri"/>
                <w:color w:val="2C3E50"/>
                <w:sz w:val="17"/>
              </w:rPr>
              <w:t>Register new Client with GSTIN &amp; Credit Terms; verify immediate availability in Projects and Sales Orders.</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Master entity reusable across all downstream modules with zero duplication.</w:t>
            </w:r>
          </w:p>
        </w:tc>
        <w:tc>
          <w:tcPr>
            <w:tcW w:type="dxa" w:w="1152"/>
            <w:shd w:fill="FFFFFF"/>
            <w:tcMar>
              <w:top w:w="80" w:type="dxa"/>
              <w:bottom w:w="80" w:type="dxa"/>
              <w:left w:w="120" w:type="dxa"/>
              <w:right w:w="120" w:type="dxa"/>
            </w:tcMar>
          </w:tcPr>
          <w:p>
            <w:pPr>
              <w:spacing w:before="0" w:after="40" w:line="276" w:lineRule="auto"/>
            </w:pPr>
            <w:r>
              <w:rPr>
                <w:rFonts w:ascii="Calibri" w:hAnsi="Calibri"/>
                <w:color w:val="2C3E50"/>
                <w:sz w:val="17"/>
              </w:rPr>
              <w:t>Verified Baseline</w:t>
            </w:r>
          </w:p>
        </w:tc>
      </w:tr>
      <w:tr>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Projects</w:t>
            </w:r>
          </w:p>
        </w:tc>
        <w:tc>
          <w:tcPr>
            <w:tcW w:type="dxa" w:w="3600"/>
            <w:shd w:fill="F8FAFC"/>
            <w:tcMar>
              <w:top w:w="80" w:type="dxa"/>
              <w:bottom w:w="80" w:type="dxa"/>
              <w:left w:w="120" w:type="dxa"/>
              <w:right w:w="120" w:type="dxa"/>
            </w:tcMar>
          </w:tcPr>
          <w:p>
            <w:pPr>
              <w:spacing w:before="0" w:after="40" w:line="276" w:lineRule="auto"/>
            </w:pPr>
            <w:r>
              <w:rPr>
                <w:rFonts w:ascii="Calibri" w:hAnsi="Calibri"/>
                <w:color w:val="2C3E50"/>
                <w:sz w:val="17"/>
              </w:rPr>
              <w:t>Create Project -&gt; Link Client PO -&gt; Incur Expenses -&gt; Deliver DC -&gt; Issue Invoice -&gt; Close Project.</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Complete lifecycle executes smoothly; Project P&amp;L accurately computes gross margin.</w:t>
            </w:r>
          </w:p>
        </w:tc>
        <w:tc>
          <w:tcPr>
            <w:tcW w:type="dxa" w:w="1152"/>
            <w:shd w:fill="F8FAFC"/>
            <w:tcMar>
              <w:top w:w="80" w:type="dxa"/>
              <w:bottom w:w="80" w:type="dxa"/>
              <w:left w:w="120" w:type="dxa"/>
              <w:right w:w="120" w:type="dxa"/>
            </w:tcMar>
          </w:tcPr>
          <w:p>
            <w:pPr>
              <w:spacing w:before="0" w:after="40" w:line="276" w:lineRule="auto"/>
            </w:pPr>
            <w:r>
              <w:rPr>
                <w:rFonts w:ascii="Calibri" w:hAnsi="Calibri"/>
                <w:color w:val="2C3E50"/>
                <w:sz w:val="17"/>
              </w:rPr>
              <w:t>Verified Baseline</w:t>
            </w:r>
          </w:p>
        </w:tc>
      </w:tr>
      <w:tr>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Sales &amp; Billing</w:t>
            </w:r>
          </w:p>
        </w:tc>
        <w:tc>
          <w:tcPr>
            <w:tcW w:type="dxa" w:w="3600"/>
            <w:shd w:fill="FFFFFF"/>
            <w:tcMar>
              <w:top w:w="80" w:type="dxa"/>
              <w:bottom w:w="80" w:type="dxa"/>
              <w:left w:w="120" w:type="dxa"/>
              <w:right w:w="120" w:type="dxa"/>
            </w:tcMar>
          </w:tcPr>
          <w:p>
            <w:pPr>
              <w:spacing w:before="0" w:after="40" w:line="276" w:lineRule="auto"/>
            </w:pPr>
            <w:r>
              <w:rPr>
                <w:rFonts w:ascii="Calibri" w:hAnsi="Calibri"/>
                <w:color w:val="2C3E50"/>
                <w:sz w:val="17"/>
              </w:rPr>
              <w:t>Issue Tax Invoice; verify automatic CGST/SGST vs IGST calculation based on Place of Supply.</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Correct GST tax amounts computed; Output GST ledger credited; Invoice posted to AR.</w:t>
            </w:r>
          </w:p>
        </w:tc>
        <w:tc>
          <w:tcPr>
            <w:tcW w:type="dxa" w:w="1152"/>
            <w:shd w:fill="FFFFFF"/>
            <w:tcMar>
              <w:top w:w="80" w:type="dxa"/>
              <w:bottom w:w="80" w:type="dxa"/>
              <w:left w:w="120" w:type="dxa"/>
              <w:right w:w="120" w:type="dxa"/>
            </w:tcMar>
          </w:tcPr>
          <w:p>
            <w:pPr>
              <w:spacing w:before="0" w:after="40" w:line="276" w:lineRule="auto"/>
            </w:pPr>
            <w:r>
              <w:rPr>
                <w:rFonts w:ascii="Calibri" w:hAnsi="Calibri"/>
                <w:color w:val="2C3E50"/>
                <w:sz w:val="17"/>
              </w:rPr>
              <w:t>Verified Baseline</w:t>
            </w:r>
          </w:p>
        </w:tc>
      </w:tr>
      <w:tr>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Multi-Allocation</w:t>
            </w:r>
          </w:p>
        </w:tc>
        <w:tc>
          <w:tcPr>
            <w:tcW w:type="dxa" w:w="3600"/>
            <w:shd w:fill="F8FAFC"/>
            <w:tcMar>
              <w:top w:w="80" w:type="dxa"/>
              <w:bottom w:w="80" w:type="dxa"/>
              <w:left w:w="120" w:type="dxa"/>
              <w:right w:w="120" w:type="dxa"/>
            </w:tcMar>
          </w:tcPr>
          <w:p>
            <w:pPr>
              <w:spacing w:before="0" w:after="40" w:line="276" w:lineRule="auto"/>
            </w:pPr>
            <w:r>
              <w:rPr>
                <w:rFonts w:ascii="Calibri" w:hAnsi="Calibri"/>
                <w:color w:val="2C3E50"/>
                <w:sz w:val="17"/>
              </w:rPr>
              <w:t>Receive ₹10,00,000 single customer receipt; allocate across INV-001 (₹4L), INV-002 (₹3L), and INV-003 (₹3L).</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All 3 invoices update outstanding balance; receipt records clean split ledger vouchers.</w:t>
            </w:r>
          </w:p>
        </w:tc>
        <w:tc>
          <w:tcPr>
            <w:tcW w:type="dxa" w:w="1152"/>
            <w:shd w:fill="F8FAFC"/>
            <w:tcMar>
              <w:top w:w="80" w:type="dxa"/>
              <w:bottom w:w="80" w:type="dxa"/>
              <w:left w:w="120" w:type="dxa"/>
              <w:right w:w="120" w:type="dxa"/>
            </w:tcMar>
          </w:tcPr>
          <w:p>
            <w:pPr>
              <w:spacing w:before="0" w:after="40" w:line="276" w:lineRule="auto"/>
            </w:pPr>
            <w:r>
              <w:rPr>
                <w:rFonts w:ascii="Calibri" w:hAnsi="Calibri"/>
                <w:color w:val="2C3E50"/>
                <w:sz w:val="17"/>
              </w:rPr>
              <w:t>Verified Baseline</w:t>
            </w:r>
          </w:p>
        </w:tc>
      </w:tr>
      <w:tr>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Procurement</w:t>
            </w:r>
          </w:p>
        </w:tc>
        <w:tc>
          <w:tcPr>
            <w:tcW w:type="dxa" w:w="3600"/>
            <w:shd w:fill="FFFFFF"/>
            <w:tcMar>
              <w:top w:w="80" w:type="dxa"/>
              <w:bottom w:w="80" w:type="dxa"/>
              <w:left w:w="120" w:type="dxa"/>
              <w:right w:w="120" w:type="dxa"/>
            </w:tcMar>
          </w:tcPr>
          <w:p>
            <w:pPr>
              <w:spacing w:before="0" w:after="40" w:line="276" w:lineRule="auto"/>
            </w:pPr>
            <w:r>
              <w:rPr>
                <w:rFonts w:ascii="Calibri" w:hAnsi="Calibri"/>
                <w:color w:val="2C3E50"/>
                <w:sz w:val="17"/>
              </w:rPr>
              <w:t>Raise PR -&gt; Approve -&gt; Issue PO -&gt; Receive GRN -&gt; Record Bill -&gt; 3-Way Match Validation.</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3-Way Match prevents overbilling; stock auto-updates; AP liability correctly posted.</w:t>
            </w:r>
          </w:p>
        </w:tc>
        <w:tc>
          <w:tcPr>
            <w:tcW w:type="dxa" w:w="1152"/>
            <w:shd w:fill="FFFFFF"/>
            <w:tcMar>
              <w:top w:w="80" w:type="dxa"/>
              <w:bottom w:w="80" w:type="dxa"/>
              <w:left w:w="120" w:type="dxa"/>
              <w:right w:w="120" w:type="dxa"/>
            </w:tcMar>
          </w:tcPr>
          <w:p>
            <w:pPr>
              <w:spacing w:before="0" w:after="40" w:line="276" w:lineRule="auto"/>
            </w:pPr>
            <w:r>
              <w:rPr>
                <w:rFonts w:ascii="Calibri" w:hAnsi="Calibri"/>
                <w:color w:val="2C3E50"/>
                <w:sz w:val="17"/>
              </w:rPr>
              <w:t>Verified Baseline</w:t>
            </w:r>
          </w:p>
        </w:tc>
      </w:tr>
      <w:tr>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Office Inventory</w:t>
            </w:r>
          </w:p>
        </w:tc>
        <w:tc>
          <w:tcPr>
            <w:tcW w:type="dxa" w:w="3600"/>
            <w:shd w:fill="F8FAFC"/>
            <w:tcMar>
              <w:top w:w="80" w:type="dxa"/>
              <w:bottom w:w="80" w:type="dxa"/>
              <w:left w:w="120" w:type="dxa"/>
              <w:right w:w="120" w:type="dxa"/>
            </w:tcMar>
          </w:tcPr>
          <w:p>
            <w:pPr>
              <w:spacing w:before="0" w:after="40" w:line="276" w:lineRule="auto"/>
            </w:pPr>
            <w:r>
              <w:rPr>
                <w:rFonts w:ascii="Calibri" w:hAnsi="Calibri"/>
                <w:color w:val="2C3E50"/>
                <w:sz w:val="17"/>
              </w:rPr>
              <w:t>Receive office stationery via GRN -&gt; Issue stock to Accounts Dept -&gt; Check Low Stock Alert.</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Perpetual stock register deducts balance; low stock alert triggered when under reorder qty.</w:t>
            </w:r>
          </w:p>
        </w:tc>
        <w:tc>
          <w:tcPr>
            <w:tcW w:type="dxa" w:w="1152"/>
            <w:shd w:fill="F8FAFC"/>
            <w:tcMar>
              <w:top w:w="80" w:type="dxa"/>
              <w:bottom w:w="80" w:type="dxa"/>
              <w:left w:w="120" w:type="dxa"/>
              <w:right w:w="120" w:type="dxa"/>
            </w:tcMar>
          </w:tcPr>
          <w:p>
            <w:pPr>
              <w:spacing w:before="0" w:after="40" w:line="276" w:lineRule="auto"/>
            </w:pPr>
            <w:r>
              <w:rPr>
                <w:rFonts w:ascii="Calibri" w:hAnsi="Calibri"/>
                <w:color w:val="2C3E50"/>
                <w:sz w:val="17"/>
              </w:rPr>
              <w:t>Verified Baseline</w:t>
            </w:r>
          </w:p>
        </w:tc>
      </w:tr>
      <w:tr>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GST &amp; ITC</w:t>
            </w:r>
          </w:p>
        </w:tc>
        <w:tc>
          <w:tcPr>
            <w:tcW w:type="dxa" w:w="3600"/>
            <w:shd w:fill="FFFFFF"/>
            <w:tcMar>
              <w:top w:w="80" w:type="dxa"/>
              <w:bottom w:w="80" w:type="dxa"/>
              <w:left w:w="120" w:type="dxa"/>
              <w:right w:w="120" w:type="dxa"/>
            </w:tcMar>
          </w:tcPr>
          <w:p>
            <w:pPr>
              <w:spacing w:before="0" w:after="40" w:line="276" w:lineRule="auto"/>
            </w:pPr>
            <w:r>
              <w:rPr>
                <w:rFonts w:ascii="Calibri" w:hAnsi="Calibri"/>
                <w:color w:val="2C3E50"/>
                <w:sz w:val="17"/>
              </w:rPr>
              <w:t>Import GSTR-2B JSON statement; run automated matching against recorded Purchase Bills.</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Accurately categorizes Matched, Tax Mismatches, and Missing Bills; prevents ITC loss.</w:t>
            </w:r>
          </w:p>
        </w:tc>
        <w:tc>
          <w:tcPr>
            <w:tcW w:type="dxa" w:w="1152"/>
            <w:shd w:fill="FFFFFF"/>
            <w:tcMar>
              <w:top w:w="80" w:type="dxa"/>
              <w:bottom w:w="80" w:type="dxa"/>
              <w:left w:w="120" w:type="dxa"/>
              <w:right w:w="120" w:type="dxa"/>
            </w:tcMar>
          </w:tcPr>
          <w:p>
            <w:pPr>
              <w:spacing w:before="0" w:after="40" w:line="276" w:lineRule="auto"/>
            </w:pPr>
            <w:r>
              <w:rPr>
                <w:rFonts w:ascii="Calibri" w:hAnsi="Calibri"/>
                <w:color w:val="2C3E50"/>
                <w:sz w:val="17"/>
              </w:rPr>
              <w:t>Verified Baseline</w:t>
            </w:r>
          </w:p>
        </w:tc>
      </w:tr>
      <w:tr>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Bank BRS</w:t>
            </w:r>
          </w:p>
        </w:tc>
        <w:tc>
          <w:tcPr>
            <w:tcW w:type="dxa" w:w="3600"/>
            <w:shd w:fill="F8FAFC"/>
            <w:tcMar>
              <w:top w:w="80" w:type="dxa"/>
              <w:bottom w:w="80" w:type="dxa"/>
              <w:left w:w="120" w:type="dxa"/>
              <w:right w:w="120" w:type="dxa"/>
            </w:tcMar>
          </w:tcPr>
          <w:p>
            <w:pPr>
              <w:spacing w:before="0" w:after="40" w:line="276" w:lineRule="auto"/>
            </w:pPr>
            <w:r>
              <w:rPr>
                <w:rFonts w:ascii="Calibri" w:hAnsi="Calibri"/>
                <w:color w:val="2C3E50"/>
                <w:sz w:val="17"/>
              </w:rPr>
              <w:t>Import bank statement CSV; reconcile issued cheques and customer deposits against bank balance.</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Unreconciled difference reaches 0.00; BRS statement generated and locked.</w:t>
            </w:r>
          </w:p>
        </w:tc>
        <w:tc>
          <w:tcPr>
            <w:tcW w:type="dxa" w:w="1152"/>
            <w:shd w:fill="F8FAFC"/>
            <w:tcMar>
              <w:top w:w="80" w:type="dxa"/>
              <w:bottom w:w="80" w:type="dxa"/>
              <w:left w:w="120" w:type="dxa"/>
              <w:right w:w="120" w:type="dxa"/>
            </w:tcMar>
          </w:tcPr>
          <w:p>
            <w:pPr>
              <w:spacing w:before="0" w:after="40" w:line="276" w:lineRule="auto"/>
            </w:pPr>
            <w:r>
              <w:rPr>
                <w:rFonts w:ascii="Calibri" w:hAnsi="Calibri"/>
                <w:color w:val="2C3E50"/>
                <w:sz w:val="17"/>
              </w:rPr>
              <w:t>Verified Baseline</w:t>
            </w:r>
          </w:p>
        </w:tc>
      </w:tr>
      <w:tr>
        <w:tc>
          <w:tcPr>
            <w:tcW w:type="dxa" w:w="1584"/>
            <w:shd w:fill="FFFFFF"/>
            <w:tcMar>
              <w:top w:w="80" w:type="dxa"/>
              <w:bottom w:w="80" w:type="dxa"/>
              <w:left w:w="120" w:type="dxa"/>
              <w:right w:w="120" w:type="dxa"/>
            </w:tcMar>
          </w:tcPr>
          <w:p>
            <w:pPr>
              <w:spacing w:before="0" w:after="40" w:line="276" w:lineRule="auto"/>
            </w:pPr>
            <w:r>
              <w:rPr>
                <w:rFonts w:ascii="Calibri" w:hAnsi="Calibri"/>
                <w:color w:val="2C3E50"/>
                <w:sz w:val="17"/>
              </w:rPr>
              <w:t>Payroll</w:t>
            </w:r>
          </w:p>
        </w:tc>
        <w:tc>
          <w:tcPr>
            <w:tcW w:type="dxa" w:w="3600"/>
            <w:shd w:fill="FFFFFF"/>
            <w:tcMar>
              <w:top w:w="80" w:type="dxa"/>
              <w:bottom w:w="80" w:type="dxa"/>
              <w:left w:w="120" w:type="dxa"/>
              <w:right w:w="120" w:type="dxa"/>
            </w:tcMar>
          </w:tcPr>
          <w:p>
            <w:pPr>
              <w:spacing w:before="0" w:after="40" w:line="276" w:lineRule="auto"/>
            </w:pPr>
            <w:r>
              <w:rPr>
                <w:rFonts w:ascii="Calibri" w:hAnsi="Calibri"/>
                <w:color w:val="2C3E50"/>
                <w:sz w:val="17"/>
              </w:rPr>
              <w:t>Process monthly payroll for 50 employees with leaves, PF deductions, and advance salary recoveries.</w:t>
            </w:r>
          </w:p>
        </w:tc>
        <w:tc>
          <w:tcPr>
            <w:tcW w:type="dxa" w:w="3168"/>
            <w:shd w:fill="FFFFFF"/>
            <w:tcMar>
              <w:top w:w="80" w:type="dxa"/>
              <w:bottom w:w="80" w:type="dxa"/>
              <w:left w:w="120" w:type="dxa"/>
              <w:right w:w="120" w:type="dxa"/>
            </w:tcMar>
          </w:tcPr>
          <w:p>
            <w:pPr>
              <w:spacing w:before="0" w:after="40" w:line="276" w:lineRule="auto"/>
            </w:pPr>
            <w:r>
              <w:rPr>
                <w:rFonts w:ascii="Calibri" w:hAnsi="Calibri"/>
                <w:color w:val="2C3E50"/>
                <w:sz w:val="17"/>
              </w:rPr>
              <w:t>Payslips generated; Net salary payable correctly calculated; salary JV posted to GL.</w:t>
            </w:r>
          </w:p>
        </w:tc>
        <w:tc>
          <w:tcPr>
            <w:tcW w:type="dxa" w:w="1152"/>
            <w:shd w:fill="FFFFFF"/>
            <w:tcMar>
              <w:top w:w="80" w:type="dxa"/>
              <w:bottom w:w="80" w:type="dxa"/>
              <w:left w:w="120" w:type="dxa"/>
              <w:right w:w="120" w:type="dxa"/>
            </w:tcMar>
          </w:tcPr>
          <w:p>
            <w:pPr>
              <w:spacing w:before="0" w:after="40" w:line="276" w:lineRule="auto"/>
            </w:pPr>
            <w:r>
              <w:rPr>
                <w:rFonts w:ascii="Calibri" w:hAnsi="Calibri"/>
                <w:color w:val="2C3E50"/>
                <w:sz w:val="17"/>
              </w:rPr>
              <w:t>Verified Baseline</w:t>
            </w:r>
          </w:p>
        </w:tc>
      </w:tr>
      <w:tr>
        <w:tc>
          <w:tcPr>
            <w:tcW w:type="dxa" w:w="1584"/>
            <w:shd w:fill="F8FAFC"/>
            <w:tcMar>
              <w:top w:w="80" w:type="dxa"/>
              <w:bottom w:w="80" w:type="dxa"/>
              <w:left w:w="120" w:type="dxa"/>
              <w:right w:w="120" w:type="dxa"/>
            </w:tcMar>
          </w:tcPr>
          <w:p>
            <w:pPr>
              <w:spacing w:before="0" w:after="40" w:line="276" w:lineRule="auto"/>
            </w:pPr>
            <w:r>
              <w:rPr>
                <w:rFonts w:ascii="Calibri" w:hAnsi="Calibri"/>
                <w:color w:val="2C3E50"/>
                <w:sz w:val="17"/>
              </w:rPr>
              <w:t>Audit &amp; Lock</w:t>
            </w:r>
          </w:p>
        </w:tc>
        <w:tc>
          <w:tcPr>
            <w:tcW w:type="dxa" w:w="3600"/>
            <w:shd w:fill="F8FAFC"/>
            <w:tcMar>
              <w:top w:w="80" w:type="dxa"/>
              <w:bottom w:w="80" w:type="dxa"/>
              <w:left w:w="120" w:type="dxa"/>
              <w:right w:w="120" w:type="dxa"/>
            </w:tcMar>
          </w:tcPr>
          <w:p>
            <w:pPr>
              <w:spacing w:before="0" w:after="40" w:line="276" w:lineRule="auto"/>
            </w:pPr>
            <w:r>
              <w:rPr>
                <w:rFonts w:ascii="Calibri" w:hAnsi="Calibri"/>
                <w:color w:val="2C3E50"/>
                <w:sz w:val="17"/>
              </w:rPr>
              <w:t>Attempt to edit financial bill on a Closed Project without Reopen authorization.</w:t>
            </w:r>
          </w:p>
        </w:tc>
        <w:tc>
          <w:tcPr>
            <w:tcW w:type="dxa" w:w="3168"/>
            <w:shd w:fill="F8FAFC"/>
            <w:tcMar>
              <w:top w:w="80" w:type="dxa"/>
              <w:bottom w:w="80" w:type="dxa"/>
              <w:left w:w="120" w:type="dxa"/>
              <w:right w:w="120" w:type="dxa"/>
            </w:tcMar>
          </w:tcPr>
          <w:p>
            <w:pPr>
              <w:spacing w:before="0" w:after="40" w:line="276" w:lineRule="auto"/>
            </w:pPr>
            <w:r>
              <w:rPr>
                <w:rFonts w:ascii="Calibri" w:hAnsi="Calibri"/>
                <w:color w:val="2C3E50"/>
                <w:sz w:val="17"/>
              </w:rPr>
              <w:t>System strictly blocks edit attempt and records security unauthorized alert in audit log.</w:t>
            </w:r>
          </w:p>
        </w:tc>
        <w:tc>
          <w:tcPr>
            <w:tcW w:type="dxa" w:w="1152"/>
            <w:shd w:fill="F8FAFC"/>
            <w:tcMar>
              <w:top w:w="80" w:type="dxa"/>
              <w:bottom w:w="80" w:type="dxa"/>
              <w:left w:w="120" w:type="dxa"/>
              <w:right w:w="120" w:type="dxa"/>
            </w:tcMar>
          </w:tcPr>
          <w:p>
            <w:pPr>
              <w:spacing w:before="0" w:after="40" w:line="276" w:lineRule="auto"/>
            </w:pPr>
            <w:r>
              <w:rPr>
                <w:rFonts w:ascii="Calibri" w:hAnsi="Calibri"/>
                <w:color w:val="2C3E50"/>
                <w:sz w:val="17"/>
              </w:rPr>
              <w:t>Verified Baseline</w:t>
            </w:r>
          </w:p>
        </w:tc>
      </w:tr>
    </w:tbl>
    <w:p>
      <w:pPr>
        <w:spacing w:before="0" w:after="120"/>
      </w:pPr>
    </w:p>
    <w:p>
      <w:pPr>
        <w:keepNext/>
        <w:spacing w:before="360" w:after="120"/>
      </w:pPr>
      <w:r>
        <w:rPr>
          <w:rFonts w:ascii="Calibri" w:hAnsi="Calibri"/>
          <w:b/>
          <w:color w:val="1B365D"/>
          <w:sz w:val="30"/>
        </w:rPr>
        <w:t>12. Conclusion &amp; Engineering Sign-Off</w:t>
      </w:r>
    </w:p>
    <w:p>
      <w:pPr>
        <w:spacing w:before="0" w:after="80" w:line="276" w:lineRule="auto"/>
      </w:pPr>
      <w:r>
        <w:rPr>
          <w:rFonts w:ascii="Calibri" w:hAnsi="Calibri"/>
          <w:color w:val="2C3E50"/>
          <w:sz w:val="20"/>
        </w:rPr>
        <w:t>This comprehensive Software Requirements Specification (SRS) and Database Design Document provides the definitive technical and architectural foundation for the SDK Solutions ERP System. By integrating project management, sales billing, procurement, office consumables inventory, double-entry financial ledgers, Indian GST compliance, multi-bank control, and asset tracking into a unified relational schema with 48 normalized tables and 8 detailed architecture diagrams, the system guarantees high operational efficiency, financial integrity, and audit readiness.</w:t>
      </w:r>
    </w:p>
    <w:p>
      <w:pPr>
        <w:spacing w:before="0" w:after="80" w:line="276" w:lineRule="auto"/>
      </w:pPr>
      <w:r>
        <w:rPr>
          <w:rFonts w:ascii="Calibri" w:hAnsi="Calibri"/>
          <w:color w:val="2C3E50"/>
          <w:sz w:val="20"/>
        </w:rPr>
        <w:t>With this baseline officially documented, engineering teams may proceed immediately with sprint planning, database migration scripting (Flyway / Liquibase), REST API contract definitions (OpenAPI / Swagger), UI component library development, and automated test suite implementation.</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909C"/>
        <w:sz w:val="17"/>
      </w:rPr>
      <w:t>SDK Solutions Confidential  |  Master Functional &amp; Database Specification  |  Version 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909C"/>
        <w:sz w:val="17"/>
      </w:rPr>
      <w:t>SDK SOLUTIONS ERP — Software Requirements Specification &amp; Database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