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367A" w14:textId="77777777" w:rsidR="00B76B2A" w:rsidRPr="00B76B2A" w:rsidRDefault="00B76B2A" w:rsidP="00B76B2A">
      <w:r w:rsidRPr="00B76B2A">
        <w:t xml:space="preserve">Yes. My judgment is: </w:t>
      </w:r>
      <w:r w:rsidRPr="00B76B2A">
        <w:rPr>
          <w:b/>
          <w:bCs/>
        </w:rPr>
        <w:t>as a JSS article, it is not complete yet; as a package vignette, it is already useful.</w:t>
      </w:r>
      <w:r w:rsidRPr="00B76B2A">
        <w:t xml:space="preserve"> I would add an appendix, but I would also move some practical guidance into the main text. The appendix should support the article, not compensate for missing core material.</w:t>
      </w:r>
    </w:p>
    <w:p w14:paraId="6CEEDBE1" w14:textId="77777777" w:rsidR="00B76B2A" w:rsidRPr="00B76B2A" w:rsidRDefault="00B76B2A" w:rsidP="00B76B2A">
      <w:pPr>
        <w:rPr>
          <w:b/>
          <w:bCs/>
        </w:rPr>
      </w:pPr>
      <w:r w:rsidRPr="00B76B2A">
        <w:rPr>
          <w:b/>
          <w:bCs/>
        </w:rPr>
        <w:t>1. As a JSS reviewer</w:t>
      </w:r>
    </w:p>
    <w:p w14:paraId="227646B8" w14:textId="77777777" w:rsidR="00B76B2A" w:rsidRPr="00B76B2A" w:rsidRDefault="00B76B2A" w:rsidP="00B76B2A">
      <w:r w:rsidRPr="00B76B2A">
        <w:t xml:space="preserve">I would probably recommend </w:t>
      </w:r>
      <w:r w:rsidRPr="00B76B2A">
        <w:rPr>
          <w:b/>
          <w:bCs/>
        </w:rPr>
        <w:t>major revision</w:t>
      </w:r>
      <w:r w:rsidRPr="00B76B2A">
        <w:t xml:space="preserve">, not rejection. The article has a solid core: it introduces LS-SPCA, explains the three variants, describes variable selection and computational details, and gives a worked Holzinger example with </w:t>
      </w:r>
      <w:proofErr w:type="spellStart"/>
      <w:proofErr w:type="gramStart"/>
      <w:r w:rsidRPr="00B76B2A">
        <w:t>pca</w:t>
      </w:r>
      <w:proofErr w:type="spellEnd"/>
      <w:r w:rsidRPr="00B76B2A">
        <w:t>(</w:t>
      </w:r>
      <w:proofErr w:type="gramEnd"/>
      <w:r w:rsidRPr="00B76B2A">
        <w:t xml:space="preserve">), </w:t>
      </w:r>
      <w:proofErr w:type="spellStart"/>
      <w:proofErr w:type="gramStart"/>
      <w:r w:rsidRPr="00B76B2A">
        <w:t>spca</w:t>
      </w:r>
      <w:proofErr w:type="spellEnd"/>
      <w:r w:rsidRPr="00B76B2A">
        <w:t>(</w:t>
      </w:r>
      <w:proofErr w:type="gramEnd"/>
      <w:r w:rsidRPr="00B76B2A">
        <w:t xml:space="preserve">), </w:t>
      </w:r>
      <w:proofErr w:type="gramStart"/>
      <w:r w:rsidRPr="00B76B2A">
        <w:t>print(</w:t>
      </w:r>
      <w:proofErr w:type="gramEnd"/>
      <w:r w:rsidRPr="00B76B2A">
        <w:t xml:space="preserve">), </w:t>
      </w:r>
      <w:proofErr w:type="gramStart"/>
      <w:r w:rsidRPr="00B76B2A">
        <w:t>summary(</w:t>
      </w:r>
      <w:proofErr w:type="gramEnd"/>
      <w:r w:rsidRPr="00B76B2A">
        <w:t xml:space="preserve">), </w:t>
      </w:r>
      <w:proofErr w:type="gramStart"/>
      <w:r w:rsidRPr="00B76B2A">
        <w:t>plot(</w:t>
      </w:r>
      <w:proofErr w:type="gramEnd"/>
      <w:r w:rsidRPr="00B76B2A">
        <w:t xml:space="preserve">), </w:t>
      </w:r>
      <w:proofErr w:type="spellStart"/>
      <w:r w:rsidRPr="00B76B2A">
        <w:t>compare_</w:t>
      </w:r>
      <w:proofErr w:type="gramStart"/>
      <w:r w:rsidRPr="00B76B2A">
        <w:t>spca</w:t>
      </w:r>
      <w:proofErr w:type="spellEnd"/>
      <w:r w:rsidRPr="00B76B2A">
        <w:t>(</w:t>
      </w:r>
      <w:proofErr w:type="gramEnd"/>
      <w:r w:rsidRPr="00B76B2A">
        <w:t xml:space="preserve">), grouped variables, and </w:t>
      </w:r>
      <w:proofErr w:type="spellStart"/>
      <w:r w:rsidRPr="00B76B2A">
        <w:t>new_</w:t>
      </w:r>
      <w:proofErr w:type="gramStart"/>
      <w:r w:rsidRPr="00B76B2A">
        <w:t>spca</w:t>
      </w:r>
      <w:proofErr w:type="spellEnd"/>
      <w:r w:rsidRPr="00B76B2A">
        <w:t>() .</w:t>
      </w:r>
      <w:proofErr w:type="gramEnd"/>
      <w:r w:rsidRPr="00B76B2A">
        <w:t xml:space="preserve"> That is enough to show that the package is usable.</w:t>
      </w:r>
    </w:p>
    <w:p w14:paraId="2E83BD9D" w14:textId="77777777" w:rsidR="00B76B2A" w:rsidRPr="00B76B2A" w:rsidRDefault="00B76B2A" w:rsidP="00B76B2A">
      <w:r w:rsidRPr="00B76B2A">
        <w:t xml:space="preserve">However, for </w:t>
      </w:r>
      <w:r w:rsidRPr="00B76B2A">
        <w:rPr>
          <w:b/>
          <w:bCs/>
        </w:rPr>
        <w:t>JSS</w:t>
      </w:r>
      <w:r w:rsidRPr="00B76B2A">
        <w:t xml:space="preserve">, the article still reads too much like an extended vignette. In fact, the introduction explicitly says that the article “also serves as an extended package vignette” and that further details are in the </w:t>
      </w:r>
      <w:proofErr w:type="gramStart"/>
      <w:r w:rsidRPr="00B76B2A">
        <w:t>documentation .</w:t>
      </w:r>
      <w:proofErr w:type="gramEnd"/>
      <w:r w:rsidRPr="00B76B2A">
        <w:t xml:space="preserve"> That is fine for a vignette, but JSS reviewers usually expect the paper itself to establish the software contribution more fully.</w:t>
      </w:r>
    </w:p>
    <w:p w14:paraId="0F0DEF6E" w14:textId="77777777" w:rsidR="00B76B2A" w:rsidRPr="00B76B2A" w:rsidRDefault="00B76B2A" w:rsidP="00B76B2A">
      <w:r w:rsidRPr="00B76B2A">
        <w:t>The main weaknesses are these.</w:t>
      </w:r>
    </w:p>
    <w:p w14:paraId="24A6F5B3" w14:textId="77777777" w:rsidR="00B76B2A" w:rsidRPr="00B76B2A" w:rsidRDefault="00B76B2A" w:rsidP="00B76B2A">
      <w:r w:rsidRPr="00B76B2A">
        <w:t xml:space="preserve">First, the </w:t>
      </w:r>
      <w:r w:rsidRPr="00B76B2A">
        <w:rPr>
          <w:b/>
          <w:bCs/>
        </w:rPr>
        <w:t>software contribution</w:t>
      </w:r>
      <w:r w:rsidRPr="00B76B2A">
        <w:t xml:space="preserve"> needs to be sharper. The paper says that </w:t>
      </w:r>
      <w:proofErr w:type="spellStart"/>
      <w:r w:rsidRPr="00B76B2A">
        <w:t>spca</w:t>
      </w:r>
      <w:proofErr w:type="spellEnd"/>
      <w:r w:rsidRPr="00B76B2A">
        <w:t xml:space="preserve"> efficiently computes LS-SPCA and provides visualization and comparison tools , but it should say more explicitly what is new from a software perspective: implemented methods, supported matrix regimes, object structure, user workflow, comparison with existing R SPCA/PCA software, and why users need this package rather than only the original methodological papers.</w:t>
      </w:r>
    </w:p>
    <w:p w14:paraId="342CAA59" w14:textId="77777777" w:rsidR="00B76B2A" w:rsidRPr="00B76B2A" w:rsidRDefault="00B76B2A" w:rsidP="00B76B2A">
      <w:r w:rsidRPr="00B76B2A">
        <w:t xml:space="preserve">Second, the article needs a </w:t>
      </w:r>
      <w:r w:rsidRPr="00B76B2A">
        <w:rPr>
          <w:b/>
          <w:bCs/>
        </w:rPr>
        <w:t>clearer user-facing decision framework</w:t>
      </w:r>
      <w:r w:rsidRPr="00B76B2A">
        <w:t xml:space="preserve">. You define </w:t>
      </w:r>
      <w:proofErr w:type="spellStart"/>
      <w:r w:rsidRPr="00B76B2A">
        <w:t>uSPCA</w:t>
      </w:r>
      <w:proofErr w:type="spellEnd"/>
      <w:r w:rsidRPr="00B76B2A">
        <w:t xml:space="preserve">, </w:t>
      </w:r>
      <w:proofErr w:type="spellStart"/>
      <w:r w:rsidRPr="00B76B2A">
        <w:t>cSPCA</w:t>
      </w:r>
      <w:proofErr w:type="spellEnd"/>
      <w:r w:rsidRPr="00B76B2A">
        <w:t xml:space="preserve">, and </w:t>
      </w:r>
      <w:proofErr w:type="spellStart"/>
      <w:r w:rsidRPr="00B76B2A">
        <w:t>pSPCA</w:t>
      </w:r>
      <w:proofErr w:type="spellEnd"/>
      <w:r w:rsidRPr="00B76B2A">
        <w:t xml:space="preserve">, and you explain variable-selection </w:t>
      </w:r>
      <w:proofErr w:type="gramStart"/>
      <w:r w:rsidRPr="00B76B2A">
        <w:t>options .</w:t>
      </w:r>
      <w:proofErr w:type="gramEnd"/>
      <w:r w:rsidRPr="00B76B2A">
        <w:t xml:space="preserve"> But a reviewer may ask: when should a user choose method = "c" rather than method = "p"? When is intensive = TRUE worth the cost? When should </w:t>
      </w:r>
      <w:proofErr w:type="spellStart"/>
      <w:r w:rsidRPr="00B76B2A">
        <w:t>stop_criterion</w:t>
      </w:r>
      <w:proofErr w:type="spellEnd"/>
      <w:r w:rsidRPr="00B76B2A">
        <w:t xml:space="preserve"> = "r2" be used instead of "</w:t>
      </w:r>
      <w:proofErr w:type="spellStart"/>
      <w:r w:rsidRPr="00B76B2A">
        <w:t>cvexp</w:t>
      </w:r>
      <w:proofErr w:type="spellEnd"/>
      <w:r w:rsidRPr="00B76B2A">
        <w:t>"? Why is alpha = 0.95 a good default? These points should be summarized in a compact table or “practical recommendations” subsection.</w:t>
      </w:r>
    </w:p>
    <w:p w14:paraId="308FD566" w14:textId="77777777" w:rsidR="00B76B2A" w:rsidRPr="00B76B2A" w:rsidRDefault="00B76B2A" w:rsidP="00B76B2A">
      <w:r w:rsidRPr="00B76B2A">
        <w:t xml:space="preserve">Third, the computational claims need </w:t>
      </w:r>
      <w:r w:rsidRPr="00B76B2A">
        <w:rPr>
          <w:b/>
          <w:bCs/>
        </w:rPr>
        <w:t>empirical support</w:t>
      </w:r>
      <w:r w:rsidRPr="00B76B2A">
        <w:t xml:space="preserve">. Section 2 explains the tall/fat back ends, row-space computation for fat matrices, rank-1 deflations, and optional power-method </w:t>
      </w:r>
      <w:proofErr w:type="gramStart"/>
      <w:r w:rsidRPr="00B76B2A">
        <w:t>computation .</w:t>
      </w:r>
      <w:proofErr w:type="gramEnd"/>
      <w:r w:rsidRPr="00B76B2A">
        <w:t xml:space="preserve"> But the </w:t>
      </w:r>
      <w:proofErr w:type="gramStart"/>
      <w:r w:rsidRPr="00B76B2A">
        <w:t>only worked</w:t>
      </w:r>
      <w:proofErr w:type="gramEnd"/>
      <w:r w:rsidRPr="00B76B2A">
        <w:t xml:space="preserve"> example is a small 145 × 12 dataset. That example cannot demonstrate why the C++ back end, fat-matrix route, or power method matters. I would add either a second main example or a benchmark section using a larger or fat matrix.</w:t>
      </w:r>
    </w:p>
    <w:p w14:paraId="18FA8552" w14:textId="77777777" w:rsidR="00B76B2A" w:rsidRPr="00B76B2A" w:rsidRDefault="00B76B2A" w:rsidP="00B76B2A">
      <w:r w:rsidRPr="00B76B2A">
        <w:lastRenderedPageBreak/>
        <w:t xml:space="preserve">Fourth, the paper needs stronger </w:t>
      </w:r>
      <w:r w:rsidRPr="00B76B2A">
        <w:rPr>
          <w:b/>
          <w:bCs/>
        </w:rPr>
        <w:t>validation</w:t>
      </w:r>
      <w:r w:rsidRPr="00B76B2A">
        <w:t>. For JSS, I would expect at least a short section showing that the implementation reproduces known cases: ordinary PCA when no sparsity is imposed, agreement between tall and fat routes where both are applicable, numerical agreement between exact and approximate computations within tolerance, and perhaps a small comparison with previous LS-SPCA results from Merola (2015) or Merola and Chen (2019).</w:t>
      </w:r>
    </w:p>
    <w:p w14:paraId="5DD95768" w14:textId="77777777" w:rsidR="00B76B2A" w:rsidRPr="00B76B2A" w:rsidRDefault="00B76B2A" w:rsidP="00B76B2A">
      <w:r w:rsidRPr="00B76B2A">
        <w:t xml:space="preserve">Fifth, the article needs a more complete </w:t>
      </w:r>
      <w:r w:rsidRPr="00B76B2A">
        <w:rPr>
          <w:b/>
          <w:bCs/>
        </w:rPr>
        <w:t>software description</w:t>
      </w:r>
      <w:r w:rsidRPr="00B76B2A">
        <w:t>. At present, individual function signatures are shown as the workflow progresses. That is useful, but I would add a structured overview: main functions, helper functions, S3 methods, object components, accepted inputs, returned values, and plotting methods. A table would work well.</w:t>
      </w:r>
    </w:p>
    <w:p w14:paraId="75FB0898" w14:textId="77777777" w:rsidR="00B76B2A" w:rsidRPr="00B76B2A" w:rsidRDefault="00B76B2A" w:rsidP="00B76B2A">
      <w:r w:rsidRPr="00B76B2A">
        <w:t xml:space="preserve">Sixth, the paper should state practical </w:t>
      </w:r>
      <w:r w:rsidRPr="00B76B2A">
        <w:rPr>
          <w:b/>
          <w:bCs/>
        </w:rPr>
        <w:t>data requirements and limitations</w:t>
      </w:r>
      <w:r w:rsidRPr="00B76B2A">
        <w:t>: whether data are centered/scaled internally, what happens with missing values, rank-deficient matrices, covariance/correlation matrix input, n &lt; p, zero-variance columns, sign indeterminacy, and interpretation of correlated sparse components.</w:t>
      </w:r>
    </w:p>
    <w:p w14:paraId="3A85AAED" w14:textId="77777777" w:rsidR="00B76B2A" w:rsidRPr="00B76B2A" w:rsidRDefault="00B76B2A" w:rsidP="00B76B2A">
      <w:r w:rsidRPr="00B76B2A">
        <w:t xml:space="preserve">So, as a reviewer, I would say: </w:t>
      </w:r>
      <w:r w:rsidRPr="00B76B2A">
        <w:rPr>
          <w:b/>
          <w:bCs/>
        </w:rPr>
        <w:t>promising and relevant, but incomplete as a JSS software article.</w:t>
      </w:r>
    </w:p>
    <w:p w14:paraId="34FB1BBE" w14:textId="77777777" w:rsidR="00B76B2A" w:rsidRPr="00B76B2A" w:rsidRDefault="00B76B2A" w:rsidP="00B76B2A">
      <w:pPr>
        <w:rPr>
          <w:b/>
          <w:bCs/>
        </w:rPr>
      </w:pPr>
      <w:r w:rsidRPr="00B76B2A">
        <w:rPr>
          <w:b/>
          <w:bCs/>
        </w:rPr>
        <w:t>2. Should you add an appendix?</w:t>
      </w:r>
    </w:p>
    <w:p w14:paraId="2064131B" w14:textId="77777777" w:rsidR="00B76B2A" w:rsidRPr="00B76B2A" w:rsidRDefault="00B76B2A" w:rsidP="00B76B2A">
      <w:r w:rsidRPr="00B76B2A">
        <w:t>Yes, but I would add it strategically.</w:t>
      </w:r>
    </w:p>
    <w:p w14:paraId="3A3DA66F" w14:textId="77777777" w:rsidR="00B76B2A" w:rsidRPr="00B76B2A" w:rsidRDefault="00B76B2A" w:rsidP="00B76B2A">
      <w:r w:rsidRPr="00B76B2A">
        <w:t xml:space="preserve">I would put </w:t>
      </w:r>
      <w:proofErr w:type="gramStart"/>
      <w:r w:rsidRPr="00B76B2A">
        <w:t>these</w:t>
      </w:r>
      <w:proofErr w:type="gramEnd"/>
      <w:r w:rsidRPr="00B76B2A">
        <w:t xml:space="preserve"> in the </w:t>
      </w:r>
      <w:r w:rsidRPr="00B76B2A">
        <w:rPr>
          <w:b/>
          <w:bCs/>
        </w:rPr>
        <w:t>main article</w:t>
      </w:r>
      <w:r w:rsidRPr="00B76B2A">
        <w:t>:</w:t>
      </w:r>
    </w:p>
    <w:p w14:paraId="6A26CFEE" w14:textId="77777777" w:rsidR="00B76B2A" w:rsidRPr="00B76B2A" w:rsidRDefault="00B76B2A" w:rsidP="00B76B2A">
      <w:pPr>
        <w:numPr>
          <w:ilvl w:val="0"/>
          <w:numId w:val="1"/>
        </w:numPr>
      </w:pPr>
      <w:r w:rsidRPr="00B76B2A">
        <w:t xml:space="preserve">A “Choosing options” subsection with a table for method, </w:t>
      </w:r>
      <w:proofErr w:type="spellStart"/>
      <w:r w:rsidRPr="00B76B2A">
        <w:t>var_selection</w:t>
      </w:r>
      <w:proofErr w:type="spellEnd"/>
      <w:r w:rsidRPr="00B76B2A">
        <w:t xml:space="preserve">, </w:t>
      </w:r>
      <w:proofErr w:type="spellStart"/>
      <w:r w:rsidRPr="00B76B2A">
        <w:t>stop_criterion</w:t>
      </w:r>
      <w:proofErr w:type="spellEnd"/>
      <w:r w:rsidRPr="00B76B2A">
        <w:t>, alpha, intensive, PML, and PMVS.</w:t>
      </w:r>
    </w:p>
    <w:p w14:paraId="6E03D4F8" w14:textId="77777777" w:rsidR="00B76B2A" w:rsidRPr="00B76B2A" w:rsidRDefault="00B76B2A" w:rsidP="00B76B2A">
      <w:pPr>
        <w:numPr>
          <w:ilvl w:val="0"/>
          <w:numId w:val="1"/>
        </w:numPr>
      </w:pPr>
      <w:r w:rsidRPr="00B76B2A">
        <w:t xml:space="preserve">A second example, preferably a </w:t>
      </w:r>
      <w:r w:rsidRPr="00B76B2A">
        <w:rPr>
          <w:b/>
          <w:bCs/>
        </w:rPr>
        <w:t>larger or fat-matrix example</w:t>
      </w:r>
      <w:r w:rsidRPr="00B76B2A">
        <w:t>, because the current Holzinger example is too small to justify the computational design.</w:t>
      </w:r>
    </w:p>
    <w:p w14:paraId="240E236F" w14:textId="77777777" w:rsidR="00B76B2A" w:rsidRPr="00B76B2A" w:rsidRDefault="00B76B2A" w:rsidP="00B76B2A">
      <w:pPr>
        <w:numPr>
          <w:ilvl w:val="0"/>
          <w:numId w:val="1"/>
        </w:numPr>
      </w:pPr>
      <w:r w:rsidRPr="00B76B2A">
        <w:t>A short “Validation and benchmarking” section with basic timing and numerical checks.</w:t>
      </w:r>
    </w:p>
    <w:p w14:paraId="4D721E2F" w14:textId="77777777" w:rsidR="00B76B2A" w:rsidRPr="00B76B2A" w:rsidRDefault="00B76B2A" w:rsidP="00B76B2A">
      <w:pPr>
        <w:numPr>
          <w:ilvl w:val="0"/>
          <w:numId w:val="1"/>
        </w:numPr>
      </w:pPr>
      <w:r w:rsidRPr="00B76B2A">
        <w:t>A short “Package structure” section: main functions, S3 methods, object components, and dependencies.</w:t>
      </w:r>
    </w:p>
    <w:p w14:paraId="2DFCC824" w14:textId="77777777" w:rsidR="00B76B2A" w:rsidRPr="00B76B2A" w:rsidRDefault="00B76B2A" w:rsidP="00B76B2A">
      <w:r w:rsidRPr="00B76B2A">
        <w:t xml:space="preserve">Then put these in an </w:t>
      </w:r>
      <w:r w:rsidRPr="00B76B2A">
        <w:rPr>
          <w:b/>
          <w:bCs/>
        </w:rPr>
        <w:t>appendix</w:t>
      </w:r>
      <w:r w:rsidRPr="00B76B2A">
        <w:t>:</w:t>
      </w:r>
    </w:p>
    <w:p w14:paraId="5596E977" w14:textId="77777777" w:rsidR="00B76B2A" w:rsidRPr="00B76B2A" w:rsidRDefault="00B76B2A" w:rsidP="00B76B2A">
      <w:pPr>
        <w:numPr>
          <w:ilvl w:val="0"/>
          <w:numId w:val="2"/>
        </w:numPr>
      </w:pPr>
      <w:r w:rsidRPr="00B76B2A">
        <w:t>Formal definitions of VEXP, CVEXP, RVEXP, RCVEXP, cardinality, contributions, and score correlations.</w:t>
      </w:r>
    </w:p>
    <w:p w14:paraId="198752A6" w14:textId="77777777" w:rsidR="00B76B2A" w:rsidRPr="00B76B2A" w:rsidRDefault="00B76B2A" w:rsidP="00B76B2A">
      <w:pPr>
        <w:numPr>
          <w:ilvl w:val="0"/>
          <w:numId w:val="2"/>
        </w:numPr>
      </w:pPr>
      <w:r w:rsidRPr="00B76B2A">
        <w:t>Algorithm boxes or pseudocode for forward selection, backward/stepwise selection, intensive selection, and fat-matrix computation.</w:t>
      </w:r>
    </w:p>
    <w:p w14:paraId="777A6AAA" w14:textId="77777777" w:rsidR="00B76B2A" w:rsidRPr="00B76B2A" w:rsidRDefault="00B76B2A" w:rsidP="00B76B2A">
      <w:pPr>
        <w:numPr>
          <w:ilvl w:val="0"/>
          <w:numId w:val="2"/>
        </w:numPr>
      </w:pPr>
      <w:r w:rsidRPr="00B76B2A">
        <w:lastRenderedPageBreak/>
        <w:t>More detailed derivations of the generalized eigenvalue problems and deflation formulas.</w:t>
      </w:r>
    </w:p>
    <w:p w14:paraId="2E5AFD16" w14:textId="77777777" w:rsidR="00B76B2A" w:rsidRPr="00B76B2A" w:rsidRDefault="00B76B2A" w:rsidP="00B76B2A">
      <w:pPr>
        <w:numPr>
          <w:ilvl w:val="0"/>
          <w:numId w:val="2"/>
        </w:numPr>
      </w:pPr>
      <w:r w:rsidRPr="00B76B2A">
        <w:t>Extra benchmark tables and simulation details.</w:t>
      </w:r>
    </w:p>
    <w:p w14:paraId="73ABFC3F" w14:textId="77777777" w:rsidR="00B76B2A" w:rsidRPr="00B76B2A" w:rsidRDefault="00B76B2A" w:rsidP="00B76B2A">
      <w:pPr>
        <w:numPr>
          <w:ilvl w:val="0"/>
          <w:numId w:val="2"/>
        </w:numPr>
      </w:pPr>
      <w:r w:rsidRPr="00B76B2A">
        <w:t>A reproducibility appendix: package version, R version, session information, datasets, and possibly code to reproduce all figures.</w:t>
      </w:r>
    </w:p>
    <w:p w14:paraId="27F8F320" w14:textId="77777777" w:rsidR="00B76B2A" w:rsidRPr="00B76B2A" w:rsidRDefault="00B76B2A" w:rsidP="00B76B2A">
      <w:r w:rsidRPr="00B76B2A">
        <w:t>Do not put all practical guidance in the appendix. A JSS reader should be able to understand the package workflow from the main text.</w:t>
      </w:r>
    </w:p>
    <w:p w14:paraId="1493DE61" w14:textId="77777777" w:rsidR="00B76B2A" w:rsidRPr="00B76B2A" w:rsidRDefault="00B76B2A" w:rsidP="00B76B2A">
      <w:pPr>
        <w:rPr>
          <w:b/>
          <w:bCs/>
        </w:rPr>
      </w:pPr>
      <w:r w:rsidRPr="00B76B2A">
        <w:rPr>
          <w:b/>
          <w:bCs/>
        </w:rPr>
        <w:t>3. As a user new to SPCA but knowing standard PCA</w:t>
      </w:r>
    </w:p>
    <w:p w14:paraId="07C6FB38" w14:textId="77777777" w:rsidR="00B76B2A" w:rsidRPr="00B76B2A" w:rsidRDefault="00B76B2A" w:rsidP="00B76B2A">
      <w:r w:rsidRPr="00B76B2A">
        <w:t xml:space="preserve">As a PCA user, I would understand the basic motivation: SPCA gives components with fewer nonzero loadings, and LS-SPCA tries to stay close to PCA’s data-approximation objective rather than only maximizing variance. The introduction and methodology are enough to tell me that this is a sparse version of PCA with a different objective from conventional </w:t>
      </w:r>
      <w:proofErr w:type="gramStart"/>
      <w:r w:rsidRPr="00B76B2A">
        <w:t>SPCA .</w:t>
      </w:r>
      <w:proofErr w:type="gramEnd"/>
    </w:p>
    <w:p w14:paraId="77A04DDC" w14:textId="77777777" w:rsidR="00B76B2A" w:rsidRPr="00B76B2A" w:rsidRDefault="00B76B2A" w:rsidP="00B76B2A">
      <w:r w:rsidRPr="00B76B2A">
        <w:t>But I would still be uncertain about how to use the package confidently.</w:t>
      </w:r>
    </w:p>
    <w:p w14:paraId="5BD7EBCE" w14:textId="77777777" w:rsidR="00B76B2A" w:rsidRPr="00B76B2A" w:rsidRDefault="00B76B2A" w:rsidP="00B76B2A">
      <w:r w:rsidRPr="00B76B2A">
        <w:t xml:space="preserve">I would </w:t>
      </w:r>
      <w:proofErr w:type="gramStart"/>
      <w:r w:rsidRPr="00B76B2A">
        <w:t>want</w:t>
      </w:r>
      <w:proofErr w:type="gramEnd"/>
      <w:r w:rsidRPr="00B76B2A">
        <w:t xml:space="preserve"> a very direct section like:</w:t>
      </w:r>
    </w:p>
    <w:p w14:paraId="057E137C" w14:textId="77777777" w:rsidR="00B76B2A" w:rsidRPr="00B76B2A" w:rsidRDefault="00B76B2A" w:rsidP="00B76B2A">
      <w:r w:rsidRPr="00B76B2A">
        <w:t xml:space="preserve">If you know PCA, use </w:t>
      </w:r>
      <w:proofErr w:type="spellStart"/>
      <w:r w:rsidRPr="00B76B2A">
        <w:t>spca</w:t>
      </w:r>
      <w:proofErr w:type="spellEnd"/>
      <w:r w:rsidRPr="00B76B2A">
        <w:t xml:space="preserve"> as follows. First run </w:t>
      </w:r>
      <w:proofErr w:type="spellStart"/>
      <w:proofErr w:type="gramStart"/>
      <w:r w:rsidRPr="00B76B2A">
        <w:t>pca</w:t>
      </w:r>
      <w:proofErr w:type="spellEnd"/>
      <w:r w:rsidRPr="00B76B2A">
        <w:t>(</w:t>
      </w:r>
      <w:proofErr w:type="gramEnd"/>
      <w:r w:rsidRPr="00B76B2A">
        <w:t xml:space="preserve">) to inspect eigenvalues and choose </w:t>
      </w:r>
      <w:proofErr w:type="spellStart"/>
      <w:r w:rsidRPr="00B76B2A">
        <w:t>ncomps</w:t>
      </w:r>
      <w:proofErr w:type="spellEnd"/>
      <w:r w:rsidRPr="00B76B2A">
        <w:t xml:space="preserve">. Then run </w:t>
      </w:r>
      <w:proofErr w:type="spellStart"/>
      <w:proofErr w:type="gramStart"/>
      <w:r w:rsidRPr="00B76B2A">
        <w:t>spca</w:t>
      </w:r>
      <w:proofErr w:type="spellEnd"/>
      <w:r w:rsidRPr="00B76B2A">
        <w:t>(</w:t>
      </w:r>
      <w:proofErr w:type="gramEnd"/>
      <w:r w:rsidRPr="00B76B2A">
        <w:t xml:space="preserve">) with the default </w:t>
      </w:r>
      <w:proofErr w:type="spellStart"/>
      <w:r w:rsidRPr="00B76B2A">
        <w:t>cSPCA</w:t>
      </w:r>
      <w:proofErr w:type="spellEnd"/>
      <w:r w:rsidRPr="00B76B2A">
        <w:t xml:space="preserve"> method. Use </w:t>
      </w:r>
      <w:proofErr w:type="gramStart"/>
      <w:r w:rsidRPr="00B76B2A">
        <w:t>summary(</w:t>
      </w:r>
      <w:proofErr w:type="gramEnd"/>
      <w:r w:rsidRPr="00B76B2A">
        <w:t xml:space="preserve">) to check how much variance is retained and how sparse the loadings are. Use </w:t>
      </w:r>
      <w:proofErr w:type="gramStart"/>
      <w:r w:rsidRPr="00B76B2A">
        <w:t>plot(</w:t>
      </w:r>
      <w:proofErr w:type="gramEnd"/>
      <w:r w:rsidRPr="00B76B2A">
        <w:t xml:space="preserve">) to interpret the sparse loadings. If components are too dense, reduce alpha; if too much variance is lost, increase alpha; if computation is slow, use forward selection or </w:t>
      </w:r>
      <w:proofErr w:type="spellStart"/>
      <w:r w:rsidRPr="00B76B2A">
        <w:t>pSPCA</w:t>
      </w:r>
      <w:proofErr w:type="spellEnd"/>
      <w:r w:rsidRPr="00B76B2A">
        <w:t>.</w:t>
      </w:r>
    </w:p>
    <w:p w14:paraId="50BE20C3" w14:textId="77777777" w:rsidR="00B76B2A" w:rsidRPr="00B76B2A" w:rsidRDefault="00B76B2A" w:rsidP="00B76B2A">
      <w:r w:rsidRPr="00B76B2A">
        <w:t xml:space="preserve">The current workflow partly does this, but it is not explicit enough. For example, the article says that the </w:t>
      </w:r>
      <w:proofErr w:type="spellStart"/>
      <w:r w:rsidRPr="00B76B2A">
        <w:t>screeplot</w:t>
      </w:r>
      <w:proofErr w:type="spellEnd"/>
      <w:r w:rsidRPr="00B76B2A">
        <w:t xml:space="preserve"> suggests 4 components and the Wachter QQ plot suggests </w:t>
      </w:r>
      <w:proofErr w:type="gramStart"/>
      <w:r w:rsidRPr="00B76B2A">
        <w:t>3, and</w:t>
      </w:r>
      <w:proofErr w:type="gramEnd"/>
      <w:r w:rsidRPr="00B76B2A">
        <w:t xml:space="preserve"> then chooses 4 “for caution</w:t>
      </w:r>
      <w:proofErr w:type="gramStart"/>
      <w:r w:rsidRPr="00B76B2A">
        <w:t>” .</w:t>
      </w:r>
      <w:proofErr w:type="gramEnd"/>
      <w:r w:rsidRPr="00B76B2A">
        <w:t xml:space="preserve"> That is useful, but a new user needs a more general rule: what should I do when the two diagnostics disagree?</w:t>
      </w:r>
    </w:p>
    <w:p w14:paraId="28FBB2D5" w14:textId="77777777" w:rsidR="00B76B2A" w:rsidRPr="00B76B2A" w:rsidRDefault="00B76B2A" w:rsidP="00B76B2A">
      <w:r w:rsidRPr="00B76B2A">
        <w:t xml:space="preserve">I would also want a small interpretation guide for the output. The summary table gives VEXP, CVEXP, RVEXP, RCVEXP, and cardinality, and then interprets the result for the Holzinger </w:t>
      </w:r>
      <w:proofErr w:type="gramStart"/>
      <w:r w:rsidRPr="00B76B2A">
        <w:t>data .</w:t>
      </w:r>
      <w:proofErr w:type="gramEnd"/>
      <w:r w:rsidRPr="00B76B2A">
        <w:t xml:space="preserve"> That is good. But I would add a compact “how to read this table” paragraph:</w:t>
      </w:r>
    </w:p>
    <w:p w14:paraId="5B084E9F" w14:textId="77777777" w:rsidR="00B76B2A" w:rsidRPr="00B76B2A" w:rsidRDefault="00B76B2A" w:rsidP="00B76B2A">
      <w:pPr>
        <w:numPr>
          <w:ilvl w:val="0"/>
          <w:numId w:val="3"/>
        </w:numPr>
      </w:pPr>
      <w:r w:rsidRPr="00B76B2A">
        <w:t xml:space="preserve">High RCVEXP means the sparse </w:t>
      </w:r>
      <w:proofErr w:type="gramStart"/>
      <w:r w:rsidRPr="00B76B2A">
        <w:t>solution</w:t>
      </w:r>
      <w:proofErr w:type="gramEnd"/>
      <w:r w:rsidRPr="00B76B2A">
        <w:t xml:space="preserve"> preserves most of the PCA information.</w:t>
      </w:r>
    </w:p>
    <w:p w14:paraId="68BD2145" w14:textId="77777777" w:rsidR="00B76B2A" w:rsidRPr="00B76B2A" w:rsidRDefault="00B76B2A" w:rsidP="00B76B2A">
      <w:pPr>
        <w:numPr>
          <w:ilvl w:val="0"/>
          <w:numId w:val="3"/>
        </w:numPr>
      </w:pPr>
      <w:r w:rsidRPr="00B76B2A">
        <w:t>Low cardinality means the component is easier to interpret.</w:t>
      </w:r>
    </w:p>
    <w:p w14:paraId="3AB24968" w14:textId="77777777" w:rsidR="00B76B2A" w:rsidRPr="00B76B2A" w:rsidRDefault="00B76B2A" w:rsidP="00B76B2A">
      <w:pPr>
        <w:numPr>
          <w:ilvl w:val="0"/>
          <w:numId w:val="3"/>
        </w:numPr>
      </w:pPr>
      <w:r w:rsidRPr="00B76B2A">
        <w:t>High correlation with the corresponding PC means the sparse component approximates the original PC well.</w:t>
      </w:r>
    </w:p>
    <w:p w14:paraId="64B6DF7D" w14:textId="77777777" w:rsidR="00B76B2A" w:rsidRPr="00B76B2A" w:rsidRDefault="00B76B2A" w:rsidP="00B76B2A">
      <w:pPr>
        <w:numPr>
          <w:ilvl w:val="0"/>
          <w:numId w:val="3"/>
        </w:numPr>
      </w:pPr>
      <w:r w:rsidRPr="00B76B2A">
        <w:lastRenderedPageBreak/>
        <w:t>Nonzero loadings show which variables define the sparse component.</w:t>
      </w:r>
    </w:p>
    <w:p w14:paraId="56A8ADE7" w14:textId="77777777" w:rsidR="00B76B2A" w:rsidRPr="00B76B2A" w:rsidRDefault="00B76B2A" w:rsidP="00B76B2A">
      <w:pPr>
        <w:numPr>
          <w:ilvl w:val="0"/>
          <w:numId w:val="3"/>
        </w:numPr>
      </w:pPr>
      <w:r w:rsidRPr="00B76B2A">
        <w:t>Later components may be less stable, especially when their eigenvalues are small.</w:t>
      </w:r>
    </w:p>
    <w:p w14:paraId="20245B8D" w14:textId="77777777" w:rsidR="00B76B2A" w:rsidRPr="00B76B2A" w:rsidRDefault="00B76B2A" w:rsidP="00B76B2A">
      <w:r w:rsidRPr="00B76B2A">
        <w:t xml:space="preserve">The article should also tell the user what a </w:t>
      </w:r>
      <w:r w:rsidRPr="00B76B2A">
        <w:rPr>
          <w:b/>
          <w:bCs/>
        </w:rPr>
        <w:t>good LS-SPCA solution</w:t>
      </w:r>
      <w:r w:rsidRPr="00B76B2A">
        <w:t xml:space="preserve"> looks like. For example: high RCVEXP, much lower cardinality than PCA, interpretable loadings, acceptable correlations among </w:t>
      </w:r>
      <w:proofErr w:type="spellStart"/>
      <w:r w:rsidRPr="00B76B2A">
        <w:t>sPCs</w:t>
      </w:r>
      <w:proofErr w:type="spellEnd"/>
      <w:r w:rsidRPr="00B76B2A">
        <w:t>, and stable results under small changes in alpha.</w:t>
      </w:r>
    </w:p>
    <w:p w14:paraId="2DD8E187" w14:textId="77777777" w:rsidR="00B76B2A" w:rsidRPr="00B76B2A" w:rsidRDefault="00B76B2A" w:rsidP="00B76B2A">
      <w:r w:rsidRPr="00B76B2A">
        <w:t xml:space="preserve">So, as a new user, I would say: </w:t>
      </w:r>
      <w:r w:rsidRPr="00B76B2A">
        <w:rPr>
          <w:b/>
          <w:bCs/>
        </w:rPr>
        <w:t>I can follow the example, but I still need more guidance to make independent choices on my own data.</w:t>
      </w:r>
    </w:p>
    <w:p w14:paraId="7450BF72" w14:textId="77777777" w:rsidR="00B76B2A" w:rsidRPr="00B76B2A" w:rsidRDefault="00B76B2A" w:rsidP="00B76B2A">
      <w:pPr>
        <w:rPr>
          <w:b/>
          <w:bCs/>
        </w:rPr>
      </w:pPr>
      <w:r w:rsidRPr="00B76B2A">
        <w:rPr>
          <w:b/>
          <w:bCs/>
        </w:rPr>
        <w:t>Bottom line</w:t>
      </w:r>
    </w:p>
    <w:p w14:paraId="58CD7C96" w14:textId="77777777" w:rsidR="00B76B2A" w:rsidRPr="00B76B2A" w:rsidRDefault="00B76B2A" w:rsidP="00B76B2A">
      <w:r w:rsidRPr="00B76B2A">
        <w:t>Add an appendix, yes. But the more important revision is to add three main-body elements:</w:t>
      </w:r>
    </w:p>
    <w:p w14:paraId="5E317037" w14:textId="77777777" w:rsidR="00B76B2A" w:rsidRPr="00B76B2A" w:rsidRDefault="00B76B2A" w:rsidP="00B76B2A">
      <w:pPr>
        <w:numPr>
          <w:ilvl w:val="0"/>
          <w:numId w:val="4"/>
        </w:numPr>
      </w:pPr>
      <w:r w:rsidRPr="00B76B2A">
        <w:rPr>
          <w:b/>
          <w:bCs/>
        </w:rPr>
        <w:t>A practical option-selection guide.</w:t>
      </w:r>
    </w:p>
    <w:p w14:paraId="29AAD323" w14:textId="77777777" w:rsidR="00B76B2A" w:rsidRPr="00B76B2A" w:rsidRDefault="00B76B2A" w:rsidP="00B76B2A">
      <w:pPr>
        <w:numPr>
          <w:ilvl w:val="0"/>
          <w:numId w:val="4"/>
        </w:numPr>
      </w:pPr>
      <w:r w:rsidRPr="00B76B2A">
        <w:rPr>
          <w:b/>
          <w:bCs/>
        </w:rPr>
        <w:t>A larger/fat-matrix example or benchmark.</w:t>
      </w:r>
    </w:p>
    <w:p w14:paraId="1972A16F" w14:textId="77777777" w:rsidR="00B76B2A" w:rsidRPr="00B76B2A" w:rsidRDefault="00B76B2A" w:rsidP="00B76B2A">
      <w:pPr>
        <w:numPr>
          <w:ilvl w:val="0"/>
          <w:numId w:val="4"/>
        </w:numPr>
      </w:pPr>
      <w:r w:rsidRPr="00B76B2A">
        <w:rPr>
          <w:b/>
          <w:bCs/>
        </w:rPr>
        <w:t>A validation/software-structure section.</w:t>
      </w:r>
    </w:p>
    <w:p w14:paraId="5DA7F03F" w14:textId="77777777" w:rsidR="00B76B2A" w:rsidRPr="00B76B2A" w:rsidRDefault="00B76B2A" w:rsidP="00B76B2A">
      <w:r w:rsidRPr="00B76B2A">
        <w:t xml:space="preserve">With those additions, the article would move from “good package vignette” to a much stronger </w:t>
      </w:r>
      <w:r w:rsidRPr="00B76B2A">
        <w:rPr>
          <w:b/>
          <w:bCs/>
        </w:rPr>
        <w:t>JSS software paper</w:t>
      </w:r>
      <w:r w:rsidRPr="00B76B2A">
        <w:t>.</w:t>
      </w:r>
    </w:p>
    <w:p w14:paraId="66D06E55" w14:textId="74B88046" w:rsidR="00B76B2A" w:rsidRDefault="00BD4752" w:rsidP="00BD4752">
      <w:pPr>
        <w:pStyle w:val="Heading2"/>
      </w:pPr>
      <w:r>
        <w:t>Further explanations</w:t>
      </w:r>
    </w:p>
    <w:p w14:paraId="489B3890" w14:textId="77777777" w:rsidR="00BD4752" w:rsidRDefault="00BD4752" w:rsidP="00BD4752"/>
    <w:p w14:paraId="61CFA9AF" w14:textId="77777777" w:rsidR="00BD4752" w:rsidRPr="00BD4752" w:rsidRDefault="00BD4752" w:rsidP="00BD4752">
      <w:r w:rsidRPr="00BD4752">
        <w:t>No, definitely not.</w:t>
      </w:r>
    </w:p>
    <w:p w14:paraId="76AD7B2F" w14:textId="77777777" w:rsidR="00BD4752" w:rsidRPr="00BD4752" w:rsidRDefault="00BD4752" w:rsidP="00BD4752">
      <w:r w:rsidRPr="00BD4752">
        <w:t xml:space="preserve">For JSS, you do </w:t>
      </w:r>
      <w:r w:rsidRPr="00BD4752">
        <w:rPr>
          <w:b/>
          <w:bCs/>
        </w:rPr>
        <w:t>not</w:t>
      </w:r>
      <w:r w:rsidRPr="00BD4752">
        <w:t xml:space="preserve"> need to present every function, every option, and every possible combination with examples. That would make the article unreadable and would duplicate the package manual.</w:t>
      </w:r>
    </w:p>
    <w:p w14:paraId="785BA764" w14:textId="77777777" w:rsidR="00BD4752" w:rsidRPr="00BD4752" w:rsidRDefault="00BD4752" w:rsidP="00BD4752">
      <w:r w:rsidRPr="00BD4752">
        <w:t>What you need is closer to this:</w:t>
      </w:r>
    </w:p>
    <w:p w14:paraId="6F31A821" w14:textId="77777777" w:rsidR="00BD4752" w:rsidRPr="00BD4752" w:rsidRDefault="00BD4752" w:rsidP="00BD4752">
      <w:pPr>
        <w:numPr>
          <w:ilvl w:val="0"/>
          <w:numId w:val="5"/>
        </w:numPr>
      </w:pPr>
      <w:r w:rsidRPr="00BD4752">
        <w:rPr>
          <w:b/>
          <w:bCs/>
        </w:rPr>
        <w:t>Explain the main workflow.</w:t>
      </w:r>
      <w:r w:rsidRPr="00BD4752">
        <w:br/>
        <w:t xml:space="preserve">Your paper already does this: choose the number of components with </w:t>
      </w:r>
      <w:proofErr w:type="spellStart"/>
      <w:proofErr w:type="gramStart"/>
      <w:r w:rsidRPr="00BD4752">
        <w:t>pca</w:t>
      </w:r>
      <w:proofErr w:type="spellEnd"/>
      <w:r w:rsidRPr="00BD4752">
        <w:t>(</w:t>
      </w:r>
      <w:proofErr w:type="gramEnd"/>
      <w:r w:rsidRPr="00BD4752">
        <w:t xml:space="preserve">), fit the model with </w:t>
      </w:r>
      <w:proofErr w:type="spellStart"/>
      <w:proofErr w:type="gramStart"/>
      <w:r w:rsidRPr="00BD4752">
        <w:t>spca</w:t>
      </w:r>
      <w:proofErr w:type="spellEnd"/>
      <w:r w:rsidRPr="00BD4752">
        <w:t>(</w:t>
      </w:r>
      <w:proofErr w:type="gramEnd"/>
      <w:r w:rsidRPr="00BD4752">
        <w:t xml:space="preserve">), inspect the output with </w:t>
      </w:r>
      <w:proofErr w:type="gramStart"/>
      <w:r w:rsidRPr="00BD4752">
        <w:t>print(</w:t>
      </w:r>
      <w:proofErr w:type="gramEnd"/>
      <w:r w:rsidRPr="00BD4752">
        <w:t xml:space="preserve">) and </w:t>
      </w:r>
      <w:proofErr w:type="gramStart"/>
      <w:r w:rsidRPr="00BD4752">
        <w:t>summary(</w:t>
      </w:r>
      <w:proofErr w:type="gramEnd"/>
      <w:r w:rsidRPr="00BD4752">
        <w:t xml:space="preserve">), visualize with </w:t>
      </w:r>
      <w:proofErr w:type="gramStart"/>
      <w:r w:rsidRPr="00BD4752">
        <w:t>plot(</w:t>
      </w:r>
      <w:proofErr w:type="gramEnd"/>
      <w:r w:rsidRPr="00BD4752">
        <w:t xml:space="preserve">), compare solutions with </w:t>
      </w:r>
      <w:proofErr w:type="spellStart"/>
      <w:r w:rsidRPr="00BD4752">
        <w:t>compare_</w:t>
      </w:r>
      <w:proofErr w:type="gramStart"/>
      <w:r w:rsidRPr="00BD4752">
        <w:t>spca</w:t>
      </w:r>
      <w:proofErr w:type="spellEnd"/>
      <w:r w:rsidRPr="00BD4752">
        <w:t>(</w:t>
      </w:r>
      <w:proofErr w:type="gramEnd"/>
      <w:r w:rsidRPr="00BD4752">
        <w:t xml:space="preserve">), and use a few utility functions. That is the right structure. The article explicitly presents itself as an extended vignette illustrating the main options and helper functions needed for a complete SPCA </w:t>
      </w:r>
      <w:proofErr w:type="gramStart"/>
      <w:r w:rsidRPr="00BD4752">
        <w:t>analysis .</w:t>
      </w:r>
      <w:proofErr w:type="gramEnd"/>
    </w:p>
    <w:p w14:paraId="5F0BDD1E" w14:textId="77777777" w:rsidR="00BD4752" w:rsidRPr="00BD4752" w:rsidRDefault="00BD4752" w:rsidP="00BD4752">
      <w:pPr>
        <w:numPr>
          <w:ilvl w:val="0"/>
          <w:numId w:val="5"/>
        </w:numPr>
      </w:pPr>
      <w:r w:rsidRPr="00BD4752">
        <w:rPr>
          <w:b/>
          <w:bCs/>
        </w:rPr>
        <w:t>Discuss the options that affect statistical meaning.</w:t>
      </w:r>
      <w:r w:rsidRPr="00BD4752">
        <w:br/>
        <w:t>These deserve explanation and motivation:</w:t>
      </w:r>
      <w:r w:rsidRPr="00BD4752">
        <w:br/>
      </w:r>
      <w:r w:rsidRPr="00BD4752">
        <w:lastRenderedPageBreak/>
        <w:t>method = "u", "c", "p";</w:t>
      </w:r>
      <w:r w:rsidRPr="00BD4752">
        <w:br/>
        <w:t>alpha;</w:t>
      </w:r>
      <w:r w:rsidRPr="00BD4752">
        <w:br/>
      </w:r>
      <w:proofErr w:type="spellStart"/>
      <w:r w:rsidRPr="00BD4752">
        <w:t>ncomps</w:t>
      </w:r>
      <w:proofErr w:type="spellEnd"/>
      <w:r w:rsidRPr="00BD4752">
        <w:t>;</w:t>
      </w:r>
      <w:r w:rsidRPr="00BD4752">
        <w:br/>
      </w:r>
      <w:proofErr w:type="spellStart"/>
      <w:r w:rsidRPr="00BD4752">
        <w:t>var_selection</w:t>
      </w:r>
      <w:proofErr w:type="spellEnd"/>
      <w:r w:rsidRPr="00BD4752">
        <w:t>;</w:t>
      </w:r>
      <w:r w:rsidRPr="00BD4752">
        <w:br/>
      </w:r>
      <w:proofErr w:type="spellStart"/>
      <w:r w:rsidRPr="00BD4752">
        <w:t>stop_criterion</w:t>
      </w:r>
      <w:proofErr w:type="spellEnd"/>
      <w:r w:rsidRPr="00BD4752">
        <w:t>;</w:t>
      </w:r>
      <w:r w:rsidRPr="00BD4752">
        <w:br/>
        <w:t>intensive;</w:t>
      </w:r>
      <w:r w:rsidRPr="00BD4752">
        <w:br/>
      </w:r>
      <w:proofErr w:type="spellStart"/>
      <w:r w:rsidRPr="00BD4752">
        <w:t>fat_matrix</w:t>
      </w:r>
      <w:proofErr w:type="spellEnd"/>
      <w:r w:rsidRPr="00BD4752">
        <w:t xml:space="preserve"> only conceptually;</w:t>
      </w:r>
      <w:r w:rsidRPr="00BD4752">
        <w:br/>
        <w:t>possibly PML and PMVS as computational options.</w:t>
      </w:r>
    </w:p>
    <w:p w14:paraId="652EADB9" w14:textId="77777777" w:rsidR="00BD4752" w:rsidRPr="00BD4752" w:rsidRDefault="00BD4752" w:rsidP="00BD4752">
      <w:r w:rsidRPr="00BD4752">
        <w:t xml:space="preserve">These are not </w:t>
      </w:r>
      <w:proofErr w:type="gramStart"/>
      <w:r w:rsidRPr="00BD4752">
        <w:t>cosmetic</w:t>
      </w:r>
      <w:proofErr w:type="gramEnd"/>
      <w:r w:rsidRPr="00BD4752">
        <w:t xml:space="preserve">. They change the type of LS-SPCA solution, the stopping rule, the sparsity-variance tradeoff, or the computational route. Your paper already introduces the three LS-SPCA variants and the variable-selection logic, but the user guidance could be more </w:t>
      </w:r>
      <w:proofErr w:type="gramStart"/>
      <w:r w:rsidRPr="00BD4752">
        <w:t>explicit .</w:t>
      </w:r>
      <w:proofErr w:type="gramEnd"/>
    </w:p>
    <w:p w14:paraId="4ACB8CA4" w14:textId="77777777" w:rsidR="00BD4752" w:rsidRPr="00BD4752" w:rsidRDefault="00BD4752" w:rsidP="00BD4752">
      <w:pPr>
        <w:numPr>
          <w:ilvl w:val="0"/>
          <w:numId w:val="5"/>
        </w:numPr>
      </w:pPr>
      <w:r w:rsidRPr="00BD4752">
        <w:rPr>
          <w:b/>
          <w:bCs/>
        </w:rPr>
        <w:t>Do not discuss every graphical or formatting option in the main text.</w:t>
      </w:r>
      <w:r w:rsidRPr="00BD4752">
        <w:br/>
        <w:t xml:space="preserve">For example, </w:t>
      </w:r>
      <w:proofErr w:type="spellStart"/>
      <w:r w:rsidRPr="00BD4752">
        <w:t>legend_position</w:t>
      </w:r>
      <w:proofErr w:type="spellEnd"/>
      <w:r w:rsidRPr="00BD4752">
        <w:t xml:space="preserve">, </w:t>
      </w:r>
      <w:proofErr w:type="spellStart"/>
      <w:r w:rsidRPr="00BD4752">
        <w:t>grid_type</w:t>
      </w:r>
      <w:proofErr w:type="spellEnd"/>
      <w:r w:rsidRPr="00BD4752">
        <w:t xml:space="preserve">, </w:t>
      </w:r>
      <w:proofErr w:type="spellStart"/>
      <w:r w:rsidRPr="00BD4752">
        <w:t>facet_labels</w:t>
      </w:r>
      <w:proofErr w:type="spellEnd"/>
      <w:r w:rsidRPr="00BD4752">
        <w:t xml:space="preserve">, </w:t>
      </w:r>
      <w:proofErr w:type="spellStart"/>
      <w:r w:rsidRPr="00BD4752">
        <w:t>x_axis_lab</w:t>
      </w:r>
      <w:proofErr w:type="spellEnd"/>
      <w:r w:rsidRPr="00BD4752">
        <w:t xml:space="preserve">, </w:t>
      </w:r>
      <w:proofErr w:type="spellStart"/>
      <w:r w:rsidRPr="00BD4752">
        <w:t>return_plot</w:t>
      </w:r>
      <w:proofErr w:type="spellEnd"/>
      <w:r w:rsidRPr="00BD4752">
        <w:t xml:space="preserve">, </w:t>
      </w:r>
      <w:proofErr w:type="spellStart"/>
      <w:r w:rsidRPr="00BD4752">
        <w:t>produce_plot</w:t>
      </w:r>
      <w:proofErr w:type="spellEnd"/>
      <w:r w:rsidRPr="00BD4752">
        <w:t xml:space="preserve">, and similar options can stay in the documentation. In the paper, it is enough to show that </w:t>
      </w:r>
      <w:proofErr w:type="spellStart"/>
      <w:proofErr w:type="gramStart"/>
      <w:r w:rsidRPr="00BD4752">
        <w:t>plot.spca</w:t>
      </w:r>
      <w:proofErr w:type="spellEnd"/>
      <w:proofErr w:type="gramEnd"/>
      <w:r w:rsidRPr="00BD4752">
        <w:t xml:space="preserve">() can produce </w:t>
      </w:r>
      <w:proofErr w:type="spellStart"/>
      <w:r w:rsidRPr="00BD4752">
        <w:t>barplots</w:t>
      </w:r>
      <w:proofErr w:type="spellEnd"/>
      <w:r w:rsidRPr="00BD4752">
        <w:t xml:space="preserve">, circular plots, heatmaps, comparisons with PC loadings, and grouped-variable displays. You already do this across Figures 3–5 and the grouped-variable </w:t>
      </w:r>
      <w:proofErr w:type="gramStart"/>
      <w:r w:rsidRPr="00BD4752">
        <w:t>example .</w:t>
      </w:r>
      <w:proofErr w:type="gramEnd"/>
    </w:p>
    <w:p w14:paraId="7DDF41C5" w14:textId="77777777" w:rsidR="00BD4752" w:rsidRPr="00BD4752" w:rsidRDefault="00BD4752" w:rsidP="00BD4752">
      <w:pPr>
        <w:numPr>
          <w:ilvl w:val="0"/>
          <w:numId w:val="5"/>
        </w:numPr>
      </w:pPr>
      <w:r w:rsidRPr="00BD4752">
        <w:rPr>
          <w:b/>
          <w:bCs/>
        </w:rPr>
        <w:t>Mention secondary functions once, unless they are central.</w:t>
      </w:r>
      <w:r w:rsidRPr="00BD4752">
        <w:br/>
        <w:t xml:space="preserve">Functions such as </w:t>
      </w:r>
      <w:proofErr w:type="spellStart"/>
      <w:r w:rsidRPr="00BD4752">
        <w:t>change_loadings_sign_</w:t>
      </w:r>
      <w:proofErr w:type="gramStart"/>
      <w:r w:rsidRPr="00BD4752">
        <w:t>spca</w:t>
      </w:r>
      <w:proofErr w:type="spellEnd"/>
      <w:r w:rsidRPr="00BD4752">
        <w:t>(</w:t>
      </w:r>
      <w:proofErr w:type="gramEnd"/>
      <w:r w:rsidRPr="00BD4752">
        <w:t xml:space="preserve">), </w:t>
      </w:r>
      <w:proofErr w:type="spellStart"/>
      <w:r w:rsidRPr="00BD4752">
        <w:t>show_contributions_</w:t>
      </w:r>
      <w:proofErr w:type="gramStart"/>
      <w:r w:rsidRPr="00BD4752">
        <w:t>spca</w:t>
      </w:r>
      <w:proofErr w:type="spellEnd"/>
      <w:r w:rsidRPr="00BD4752">
        <w:t>(</w:t>
      </w:r>
      <w:proofErr w:type="gramEnd"/>
      <w:r w:rsidRPr="00BD4752">
        <w:t xml:space="preserve">), </w:t>
      </w:r>
      <w:proofErr w:type="spellStart"/>
      <w:r w:rsidRPr="00BD4752">
        <w:t>aggregate_by_</w:t>
      </w:r>
      <w:proofErr w:type="gramStart"/>
      <w:r w:rsidRPr="00BD4752">
        <w:t>group</w:t>
      </w:r>
      <w:proofErr w:type="spellEnd"/>
      <w:r w:rsidRPr="00BD4752">
        <w:t>(</w:t>
      </w:r>
      <w:proofErr w:type="gramEnd"/>
      <w:r w:rsidRPr="00BD4752">
        <w:t xml:space="preserve">), and </w:t>
      </w:r>
      <w:proofErr w:type="spellStart"/>
      <w:r w:rsidRPr="00BD4752">
        <w:t>new_</w:t>
      </w:r>
      <w:proofErr w:type="gramStart"/>
      <w:r w:rsidRPr="00BD4752">
        <w:t>spca</w:t>
      </w:r>
      <w:proofErr w:type="spellEnd"/>
      <w:r w:rsidRPr="00BD4752">
        <w:t>(</w:t>
      </w:r>
      <w:proofErr w:type="gramEnd"/>
      <w:r w:rsidRPr="00BD4752">
        <w:t>) do not each need a full theoretical discussion. One short subsection titled “Additional utilities” is enough. Your current Section 3.6 is the correct place for them.</w:t>
      </w:r>
    </w:p>
    <w:p w14:paraId="78EB2CBB" w14:textId="77777777" w:rsidR="00BD4752" w:rsidRPr="00BD4752" w:rsidRDefault="00BD4752" w:rsidP="00BD4752">
      <w:pPr>
        <w:numPr>
          <w:ilvl w:val="0"/>
          <w:numId w:val="5"/>
        </w:numPr>
      </w:pPr>
      <w:r w:rsidRPr="00BD4752">
        <w:rPr>
          <w:b/>
          <w:bCs/>
        </w:rPr>
        <w:t>Use tables instead of long prose for completeness.</w:t>
      </w:r>
      <w:r w:rsidRPr="00BD4752">
        <w:br/>
        <w:t>A compact table can list functions and purpose:</w:t>
      </w:r>
    </w:p>
    <w:p w14:paraId="71200009" w14:textId="77777777" w:rsidR="00BD4752" w:rsidRPr="00BD4752" w:rsidRDefault="00BD4752" w:rsidP="00BD4752">
      <w:proofErr w:type="spellStart"/>
      <w:proofErr w:type="gramStart"/>
      <w:r w:rsidRPr="00BD4752">
        <w:t>pca</w:t>
      </w:r>
      <w:proofErr w:type="spellEnd"/>
      <w:r w:rsidRPr="00BD4752">
        <w:t>(</w:t>
      </w:r>
      <w:proofErr w:type="gramEnd"/>
      <w:r w:rsidRPr="00BD4752">
        <w:t>) — preliminary PCA and diagnostics</w:t>
      </w:r>
      <w:r w:rsidRPr="00BD4752">
        <w:br/>
      </w:r>
      <w:proofErr w:type="spellStart"/>
      <w:proofErr w:type="gramStart"/>
      <w:r w:rsidRPr="00BD4752">
        <w:t>spca</w:t>
      </w:r>
      <w:proofErr w:type="spellEnd"/>
      <w:r w:rsidRPr="00BD4752">
        <w:t>(</w:t>
      </w:r>
      <w:proofErr w:type="gramEnd"/>
      <w:r w:rsidRPr="00BD4752">
        <w:t>) — LS-SPCA fitting</w:t>
      </w:r>
      <w:r w:rsidRPr="00BD4752">
        <w:br/>
      </w:r>
      <w:proofErr w:type="gramStart"/>
      <w:r w:rsidRPr="00BD4752">
        <w:t>summary(</w:t>
      </w:r>
      <w:proofErr w:type="gramEnd"/>
      <w:r w:rsidRPr="00BD4752">
        <w:t>) — variance, relative variance, cardinality</w:t>
      </w:r>
      <w:r w:rsidRPr="00BD4752">
        <w:br/>
      </w:r>
      <w:proofErr w:type="gramStart"/>
      <w:r w:rsidRPr="00BD4752">
        <w:t>plot(</w:t>
      </w:r>
      <w:proofErr w:type="gramEnd"/>
      <w:r w:rsidRPr="00BD4752">
        <w:t>) — loading/contribution visualization</w:t>
      </w:r>
      <w:r w:rsidRPr="00BD4752">
        <w:br/>
      </w:r>
      <w:proofErr w:type="spellStart"/>
      <w:r w:rsidRPr="00BD4752">
        <w:t>compare_</w:t>
      </w:r>
      <w:proofErr w:type="gramStart"/>
      <w:r w:rsidRPr="00BD4752">
        <w:t>spca</w:t>
      </w:r>
      <w:proofErr w:type="spellEnd"/>
      <w:r w:rsidRPr="00BD4752">
        <w:t>(</w:t>
      </w:r>
      <w:proofErr w:type="gramEnd"/>
      <w:r w:rsidRPr="00BD4752">
        <w:t>) — comparison of two or more solutions</w:t>
      </w:r>
      <w:r w:rsidRPr="00BD4752">
        <w:br/>
      </w:r>
      <w:proofErr w:type="spellStart"/>
      <w:r w:rsidRPr="00BD4752">
        <w:t>new_</w:t>
      </w:r>
      <w:proofErr w:type="gramStart"/>
      <w:r w:rsidRPr="00BD4752">
        <w:t>spca</w:t>
      </w:r>
      <w:proofErr w:type="spellEnd"/>
      <w:r w:rsidRPr="00BD4752">
        <w:t>(</w:t>
      </w:r>
      <w:proofErr w:type="gramEnd"/>
      <w:r w:rsidRPr="00BD4752">
        <w:t xml:space="preserve">) — construct </w:t>
      </w:r>
      <w:proofErr w:type="gramStart"/>
      <w:r w:rsidRPr="00BD4752">
        <w:t>an</w:t>
      </w:r>
      <w:proofErr w:type="gramEnd"/>
      <w:r w:rsidRPr="00BD4752">
        <w:t xml:space="preserve"> </w:t>
      </w:r>
      <w:proofErr w:type="spellStart"/>
      <w:r w:rsidRPr="00BD4752">
        <w:t>spca</w:t>
      </w:r>
      <w:proofErr w:type="spellEnd"/>
      <w:r w:rsidRPr="00BD4752">
        <w:t xml:space="preserve"> object from external loadings</w:t>
      </w:r>
    </w:p>
    <w:p w14:paraId="73AE4E14" w14:textId="77777777" w:rsidR="00BD4752" w:rsidRPr="00BD4752" w:rsidRDefault="00BD4752" w:rsidP="00BD4752">
      <w:r w:rsidRPr="00BD4752">
        <w:t>That gives the reviewer confidence that the package interface is documented without forcing you to explain every argument.</w:t>
      </w:r>
    </w:p>
    <w:p w14:paraId="00F65C5E" w14:textId="77777777" w:rsidR="00BD4752" w:rsidRPr="00BD4752" w:rsidRDefault="00BD4752" w:rsidP="00BD4752">
      <w:r w:rsidRPr="00BD4752">
        <w:t>The key distinction is this:</w:t>
      </w:r>
    </w:p>
    <w:p w14:paraId="06422272" w14:textId="77777777" w:rsidR="00BD4752" w:rsidRPr="00BD4752" w:rsidRDefault="00BD4752" w:rsidP="00BD4752">
      <w:r w:rsidRPr="00BD4752">
        <w:rPr>
          <w:b/>
          <w:bCs/>
        </w:rPr>
        <w:lastRenderedPageBreak/>
        <w:t>The paper should teach the package logic. The help files should document the argument list.</w:t>
      </w:r>
    </w:p>
    <w:p w14:paraId="32302DE8" w14:textId="77777777" w:rsidR="00BD4752" w:rsidRPr="00BD4752" w:rsidRDefault="00BD4752" w:rsidP="00BD4752">
      <w:r w:rsidRPr="00BD4752">
        <w:t>So, for the JSS paper, I would not expand by adding dozens of examples. I would add only:</w:t>
      </w:r>
    </w:p>
    <w:p w14:paraId="7D5DEEFC" w14:textId="77777777" w:rsidR="00BD4752" w:rsidRPr="00BD4752" w:rsidRDefault="00BD4752" w:rsidP="00BD4752">
      <w:pPr>
        <w:numPr>
          <w:ilvl w:val="0"/>
          <w:numId w:val="6"/>
        </w:numPr>
      </w:pPr>
      <w:r w:rsidRPr="00BD4752">
        <w:t xml:space="preserve">one practical table saying when to use </w:t>
      </w:r>
      <w:proofErr w:type="spellStart"/>
      <w:r w:rsidRPr="00BD4752">
        <w:t>cSPCA</w:t>
      </w:r>
      <w:proofErr w:type="spellEnd"/>
      <w:r w:rsidRPr="00BD4752">
        <w:t xml:space="preserve">, </w:t>
      </w:r>
      <w:proofErr w:type="spellStart"/>
      <w:r w:rsidRPr="00BD4752">
        <w:t>pSPCA</w:t>
      </w:r>
      <w:proofErr w:type="spellEnd"/>
      <w:r w:rsidRPr="00BD4752">
        <w:t xml:space="preserve">, </w:t>
      </w:r>
      <w:proofErr w:type="spellStart"/>
      <w:r w:rsidRPr="00BD4752">
        <w:t>uSPCA</w:t>
      </w:r>
      <w:proofErr w:type="spellEnd"/>
      <w:r w:rsidRPr="00BD4752">
        <w:t>;</w:t>
      </w:r>
    </w:p>
    <w:p w14:paraId="17A621F6" w14:textId="77777777" w:rsidR="00BD4752" w:rsidRPr="00BD4752" w:rsidRDefault="00BD4752" w:rsidP="00BD4752">
      <w:pPr>
        <w:numPr>
          <w:ilvl w:val="0"/>
          <w:numId w:val="6"/>
        </w:numPr>
      </w:pPr>
      <w:r w:rsidRPr="00BD4752">
        <w:t>one practical table saying when to use forward/backward/stepwise, r2/</w:t>
      </w:r>
      <w:proofErr w:type="spellStart"/>
      <w:r w:rsidRPr="00BD4752">
        <w:t>cvexp</w:t>
      </w:r>
      <w:proofErr w:type="spellEnd"/>
      <w:r w:rsidRPr="00BD4752">
        <w:t>, and intensive = TRUE;</w:t>
      </w:r>
    </w:p>
    <w:p w14:paraId="5B71A585" w14:textId="77777777" w:rsidR="00BD4752" w:rsidRPr="00BD4752" w:rsidRDefault="00BD4752" w:rsidP="00BD4752">
      <w:pPr>
        <w:numPr>
          <w:ilvl w:val="0"/>
          <w:numId w:val="6"/>
        </w:numPr>
      </w:pPr>
      <w:r w:rsidRPr="00BD4752">
        <w:t>one larger or fat-matrix example, because the current Holzinger example is too small to demonstrate the computational contribution;</w:t>
      </w:r>
    </w:p>
    <w:p w14:paraId="31E7C046" w14:textId="77777777" w:rsidR="00BD4752" w:rsidRPr="00BD4752" w:rsidRDefault="00BD4752" w:rsidP="00BD4752">
      <w:pPr>
        <w:numPr>
          <w:ilvl w:val="0"/>
          <w:numId w:val="6"/>
        </w:numPr>
      </w:pPr>
      <w:r w:rsidRPr="00BD4752">
        <w:t>possibly an appendix with algorithms and extra benchmark details.</w:t>
      </w:r>
    </w:p>
    <w:p w14:paraId="22C818EB" w14:textId="77777777" w:rsidR="00BD4752" w:rsidRPr="00BD4752" w:rsidRDefault="00BD4752" w:rsidP="00BD4752">
      <w:r w:rsidRPr="00BD4752">
        <w:t>That is enough. Exhaustive coverage would be worse, not better.</w:t>
      </w:r>
    </w:p>
    <w:p w14:paraId="77391FA7" w14:textId="77777777" w:rsidR="00BD4752" w:rsidRDefault="00BD4752" w:rsidP="00BD4752"/>
    <w:p w14:paraId="00A6D637" w14:textId="77777777" w:rsidR="002B4F86" w:rsidRPr="002B4F86" w:rsidRDefault="002B4F86" w:rsidP="002B4F86">
      <w:r>
        <w:t xml:space="preserve">Data </w:t>
      </w:r>
      <w:r>
        <w:br/>
      </w:r>
      <w:r w:rsidRPr="002B4F86">
        <w:t>To select the right dataset for your (S)PCA analysis, you need the exact $n \times p$ dimensions. In these "fat" matrices, $p$ (variables/genes/wavelengths) is typically much larger than $n$ (observations).</w:t>
      </w:r>
    </w:p>
    <w:p w14:paraId="1B74BD2C" w14:textId="77777777" w:rsidR="002B4F86" w:rsidRPr="002B4F86" w:rsidRDefault="002B4F86" w:rsidP="002B4F86">
      <w:r w:rsidRPr="002B4F86">
        <w:t>Here are the precise dimensions for the most popular datasets used in literature:</w:t>
      </w:r>
    </w:p>
    <w:p w14:paraId="6889F582" w14:textId="77777777" w:rsidR="002B4F86" w:rsidRPr="002B4F86" w:rsidRDefault="002B4F86" w:rsidP="002B4F86">
      <w:pPr>
        <w:rPr>
          <w:b/>
          <w:bCs/>
        </w:rPr>
      </w:pPr>
      <w:r w:rsidRPr="002B4F86">
        <w:rPr>
          <w:b/>
          <w:bCs/>
        </w:rPr>
        <w:t>1. Gene Expression (Microarray) Data</w:t>
      </w:r>
    </w:p>
    <w:p w14:paraId="0F9C6E3C" w14:textId="77777777" w:rsidR="002B4F86" w:rsidRPr="002B4F86" w:rsidRDefault="002B4F86" w:rsidP="002B4F86">
      <w:r w:rsidRPr="002B4F86">
        <w:t xml:space="preserve">These are the "gold standard" for testing Sparse PCA because of their high dimensionality. [1] </w:t>
      </w:r>
    </w:p>
    <w:tbl>
      <w:tblPr>
        <w:tblW w:w="5000" w:type="pct"/>
        <w:tblCellMar>
          <w:top w:w="15" w:type="dxa"/>
          <w:left w:w="15" w:type="dxa"/>
          <w:bottom w:w="15" w:type="dxa"/>
          <w:right w:w="15" w:type="dxa"/>
        </w:tblCellMar>
        <w:tblLook w:val="04A0" w:firstRow="1" w:lastRow="0" w:firstColumn="1" w:lastColumn="0" w:noHBand="0" w:noVBand="1"/>
      </w:tblPr>
      <w:tblGrid>
        <w:gridCol w:w="5582"/>
        <w:gridCol w:w="1510"/>
        <w:gridCol w:w="1115"/>
        <w:gridCol w:w="1133"/>
      </w:tblGrid>
      <w:tr w:rsidR="002B4F86" w:rsidRPr="002B4F86" w14:paraId="10A646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A219" w14:textId="77777777" w:rsidR="002B4F86" w:rsidRPr="002B4F86" w:rsidRDefault="002B4F86" w:rsidP="002B4F86">
            <w:pPr>
              <w:rPr>
                <w:b/>
                <w:bCs/>
              </w:rPr>
            </w:pPr>
            <w:r w:rsidRPr="002B4F86">
              <w:rPr>
                <w:b/>
                <w:bCs/>
              </w:rPr>
              <w:t xml:space="preserve">Dataset Name [2, 3, 4, 5,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0A306" w14:textId="77777777" w:rsidR="002B4F86" w:rsidRPr="002B4F86" w:rsidRDefault="002B4F86" w:rsidP="002B4F86">
            <w:pPr>
              <w:rPr>
                <w:b/>
                <w:bCs/>
              </w:rPr>
            </w:pPr>
            <w:r w:rsidRPr="002B4F86">
              <w:rPr>
                <w:b/>
                <w:bCs/>
              </w:rPr>
              <w:t>Observations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B0674" w14:textId="77777777" w:rsidR="002B4F86" w:rsidRPr="002B4F86" w:rsidRDefault="002B4F86" w:rsidP="002B4F86">
            <w:pPr>
              <w:rPr>
                <w:b/>
                <w:bCs/>
              </w:rPr>
            </w:pPr>
            <w:r w:rsidRPr="002B4F86">
              <w:rPr>
                <w:b/>
                <w:bCs/>
              </w:rPr>
              <w:t>Variables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71EC" w14:textId="77777777" w:rsidR="002B4F86" w:rsidRPr="002B4F86" w:rsidRDefault="002B4F86" w:rsidP="002B4F86">
            <w:pPr>
              <w:rPr>
                <w:b/>
                <w:bCs/>
              </w:rPr>
            </w:pPr>
            <w:r w:rsidRPr="002B4F86">
              <w:rPr>
                <w:b/>
                <w:bCs/>
              </w:rPr>
              <w:t>Notes</w:t>
            </w:r>
          </w:p>
        </w:tc>
      </w:tr>
      <w:tr w:rsidR="002B4F86" w:rsidRPr="002B4F86" w14:paraId="40F2E2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EA5B" w14:textId="77777777" w:rsidR="002B4F86" w:rsidRPr="002B4F86" w:rsidRDefault="002B4F86" w:rsidP="002B4F86">
            <w:r w:rsidRPr="002B4F86">
              <w:rPr>
                <w:b/>
                <w:bCs/>
              </w:rPr>
              <w:t>Singh Prostate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49AFF" w14:textId="77777777" w:rsidR="002B4F86" w:rsidRPr="002B4F86" w:rsidRDefault="002B4F86" w:rsidP="002B4F86">
            <w:r w:rsidRPr="002B4F86">
              <w:t>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AFEBB" w14:textId="77777777" w:rsidR="002B4F86" w:rsidRPr="002B4F86" w:rsidRDefault="002B4F86" w:rsidP="002B4F86">
            <w:r w:rsidRPr="002B4F86">
              <w:t>12,600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B1A75" w14:textId="77777777" w:rsidR="002B4F86" w:rsidRPr="002B4F86" w:rsidRDefault="002B4F86" w:rsidP="002B4F86">
            <w:r w:rsidRPr="002B4F86">
              <w:t xml:space="preserve">52 </w:t>
            </w:r>
            <w:proofErr w:type="gramStart"/>
            <w:r w:rsidRPr="002B4F86">
              <w:t>tumor</w:t>
            </w:r>
            <w:proofErr w:type="gramEnd"/>
            <w:r w:rsidRPr="002B4F86">
              <w:t xml:space="preserve"> vs. 50 normal samples.</w:t>
            </w:r>
          </w:p>
        </w:tc>
      </w:tr>
      <w:tr w:rsidR="002B4F86" w:rsidRPr="002B4F86" w14:paraId="076B41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1ADC3" w14:textId="77777777" w:rsidR="002B4F86" w:rsidRDefault="002B4F86" w:rsidP="002B4F86">
            <w:pPr>
              <w:rPr>
                <w:b/>
                <w:bCs/>
              </w:rPr>
            </w:pPr>
            <w:r w:rsidRPr="002B4F86">
              <w:rPr>
                <w:b/>
                <w:bCs/>
              </w:rPr>
              <w:t>Golub Leukemia</w:t>
            </w:r>
          </w:p>
          <w:p w14:paraId="4E2BC4AB" w14:textId="44914941" w:rsidR="00174FCD" w:rsidRDefault="00174FCD" w:rsidP="002B4F86">
            <w:hyperlink r:id="rId5" w:history="1">
              <w:r w:rsidRPr="00921472">
                <w:rPr>
                  <w:rStyle w:val="Hyperlink"/>
                </w:rPr>
                <w:t>https://hastie.su.domains/CASI_files/DATA/leukemia.html</w:t>
              </w:r>
            </w:hyperlink>
          </w:p>
          <w:p w14:paraId="40D9EDD8" w14:textId="671AFF94" w:rsidR="00174FCD" w:rsidRPr="002B4F86" w:rsidRDefault="00174FCD" w:rsidP="002B4F8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659DB" w14:textId="77777777" w:rsidR="002B4F86" w:rsidRPr="002B4F86" w:rsidRDefault="002B4F86" w:rsidP="002B4F86">
            <w:r w:rsidRPr="002B4F86">
              <w:lastRenderedPageBreak/>
              <w:t>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1C6A1" w14:textId="77777777" w:rsidR="002B4F86" w:rsidRPr="002B4F86" w:rsidRDefault="002B4F86" w:rsidP="002B4F86">
            <w:r w:rsidRPr="002B4F86">
              <w:t>7,129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DE71" w14:textId="77777777" w:rsidR="002B4F86" w:rsidRPr="002B4F86" w:rsidRDefault="002B4F86" w:rsidP="002B4F86">
            <w:r w:rsidRPr="002B4F86">
              <w:t xml:space="preserve">Often split into </w:t>
            </w:r>
            <w:r w:rsidRPr="002B4F86">
              <w:lastRenderedPageBreak/>
              <w:t>38 training / 34 test samples.</w:t>
            </w:r>
          </w:p>
        </w:tc>
      </w:tr>
      <w:tr w:rsidR="002B4F86" w:rsidRPr="002B4F86" w14:paraId="28F3E4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36143" w14:textId="77777777" w:rsidR="002B4F86" w:rsidRPr="002B4F86" w:rsidRDefault="002B4F86" w:rsidP="002B4F86">
            <w:r w:rsidRPr="002B4F86">
              <w:rPr>
                <w:b/>
                <w:bCs/>
              </w:rPr>
              <w:lastRenderedPageBreak/>
              <w:t>Khan Small Blue Cell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70A7A" w14:textId="77777777" w:rsidR="002B4F86" w:rsidRPr="002B4F86" w:rsidRDefault="002B4F86" w:rsidP="002B4F86">
            <w:r w:rsidRPr="002B4F86">
              <w:t>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9BA92" w14:textId="77777777" w:rsidR="002B4F86" w:rsidRPr="002B4F86" w:rsidRDefault="002B4F86" w:rsidP="002B4F86">
            <w:r w:rsidRPr="002B4F86">
              <w:t>2,308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73B1F" w14:textId="77777777" w:rsidR="002B4F86" w:rsidRPr="002B4F86" w:rsidRDefault="002B4F86" w:rsidP="002B4F86">
            <w:r w:rsidRPr="002B4F86">
              <w:t>Popular for multi-class SPCA testing.</w:t>
            </w:r>
          </w:p>
        </w:tc>
      </w:tr>
      <w:tr w:rsidR="002B4F86" w:rsidRPr="002B4F86" w14:paraId="742F8C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0FE73" w14:textId="77777777" w:rsidR="002B4F86" w:rsidRPr="002B4F86" w:rsidRDefault="002B4F86" w:rsidP="002B4F86">
            <w:r w:rsidRPr="002B4F86">
              <w:rPr>
                <w:b/>
                <w:bCs/>
              </w:rPr>
              <w:t>Alon Colon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43F1" w14:textId="77777777" w:rsidR="002B4F86" w:rsidRPr="002B4F86" w:rsidRDefault="002B4F86" w:rsidP="002B4F86">
            <w:r w:rsidRPr="002B4F86">
              <w:t>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136EF" w14:textId="77777777" w:rsidR="002B4F86" w:rsidRPr="002B4F86" w:rsidRDefault="002B4F86" w:rsidP="002B4F86">
            <w:r w:rsidRPr="002B4F86">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56C7A" w14:textId="77777777" w:rsidR="002B4F86" w:rsidRPr="002B4F86" w:rsidRDefault="002B4F86" w:rsidP="002B4F86">
            <w:r w:rsidRPr="002B4F86">
              <w:t>A slightly smaller "fat" matrix used for quick iterations.</w:t>
            </w:r>
          </w:p>
        </w:tc>
      </w:tr>
    </w:tbl>
    <w:p w14:paraId="5F324C75" w14:textId="77777777" w:rsidR="002B4F86" w:rsidRPr="002B4F86" w:rsidRDefault="002B4F86" w:rsidP="002B4F86">
      <w:pPr>
        <w:rPr>
          <w:b/>
          <w:bCs/>
        </w:rPr>
      </w:pPr>
      <w:r w:rsidRPr="002B4F86">
        <w:rPr>
          <w:b/>
          <w:bCs/>
        </w:rPr>
        <w:t>2. Spectral Data (Chemometrics)</w:t>
      </w:r>
    </w:p>
    <w:p w14:paraId="27AC1439" w14:textId="77777777" w:rsidR="002B4F86" w:rsidRPr="002B4F86" w:rsidRDefault="002B4F86" w:rsidP="002B4F86">
      <w:r w:rsidRPr="002B4F86">
        <w:t>These datasets are used when you want a "physical" interpretation of the sparse components (e.g., identifying specific chemical peaks).</w:t>
      </w:r>
    </w:p>
    <w:tbl>
      <w:tblPr>
        <w:tblW w:w="5000" w:type="pct"/>
        <w:tblCellMar>
          <w:top w:w="15" w:type="dxa"/>
          <w:left w:w="15" w:type="dxa"/>
          <w:bottom w:w="15" w:type="dxa"/>
          <w:right w:w="15" w:type="dxa"/>
        </w:tblCellMar>
        <w:tblLook w:val="04A0" w:firstRow="1" w:lastRow="0" w:firstColumn="1" w:lastColumn="0" w:noHBand="0" w:noVBand="1"/>
      </w:tblPr>
      <w:tblGrid>
        <w:gridCol w:w="1872"/>
        <w:gridCol w:w="1909"/>
        <w:gridCol w:w="1470"/>
        <w:gridCol w:w="4089"/>
      </w:tblGrid>
      <w:tr w:rsidR="002B4F86" w:rsidRPr="002B4F86" w14:paraId="32D35D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0A1E1" w14:textId="77777777" w:rsidR="002B4F86" w:rsidRPr="002B4F86" w:rsidRDefault="002B4F86" w:rsidP="002B4F86">
            <w:pPr>
              <w:rPr>
                <w:b/>
                <w:bCs/>
              </w:rPr>
            </w:pPr>
            <w:r w:rsidRPr="002B4F86">
              <w:rPr>
                <w:b/>
                <w:bCs/>
              </w:rPr>
              <w:t xml:space="preserve">Dataset Name [7, 8, 9,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F000B" w14:textId="77777777" w:rsidR="002B4F86" w:rsidRPr="002B4F86" w:rsidRDefault="002B4F86" w:rsidP="002B4F86">
            <w:pPr>
              <w:rPr>
                <w:b/>
                <w:bCs/>
              </w:rPr>
            </w:pPr>
            <w:r w:rsidRPr="002B4F86">
              <w:rPr>
                <w:b/>
                <w:bCs/>
              </w:rPr>
              <w:t>Observations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16E88" w14:textId="77777777" w:rsidR="002B4F86" w:rsidRPr="002B4F86" w:rsidRDefault="002B4F86" w:rsidP="002B4F86">
            <w:pPr>
              <w:rPr>
                <w:b/>
                <w:bCs/>
              </w:rPr>
            </w:pPr>
            <w:r w:rsidRPr="002B4F86">
              <w:rPr>
                <w:b/>
                <w:bCs/>
              </w:rPr>
              <w:t>Variables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A0449" w14:textId="77777777" w:rsidR="002B4F86" w:rsidRPr="002B4F86" w:rsidRDefault="002B4F86" w:rsidP="002B4F86">
            <w:pPr>
              <w:rPr>
                <w:b/>
                <w:bCs/>
              </w:rPr>
            </w:pPr>
            <w:r w:rsidRPr="002B4F86">
              <w:rPr>
                <w:b/>
                <w:bCs/>
              </w:rPr>
              <w:t>Notes</w:t>
            </w:r>
          </w:p>
        </w:tc>
      </w:tr>
      <w:tr w:rsidR="002B4F86" w:rsidRPr="002B4F86" w14:paraId="60BC0D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9977A" w14:textId="77777777" w:rsidR="002B4F86" w:rsidRPr="002B4F86" w:rsidRDefault="002B4F86" w:rsidP="002B4F86">
            <w:proofErr w:type="spellStart"/>
            <w:r w:rsidRPr="002B4F86">
              <w:rPr>
                <w:b/>
                <w:bCs/>
              </w:rPr>
              <w:t>Tecator</w:t>
            </w:r>
            <w:proofErr w:type="spellEnd"/>
            <w:r w:rsidRPr="002B4F86">
              <w:rPr>
                <w:b/>
                <w:bCs/>
              </w:rPr>
              <w:t xml:space="preserve"> Meat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51C42" w14:textId="77777777" w:rsidR="002B4F86" w:rsidRPr="002B4F86" w:rsidRDefault="002B4F86" w:rsidP="002B4F86">
            <w:r w:rsidRPr="002B4F86">
              <w:t>215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9CA0C" w14:textId="77777777" w:rsidR="002B4F86" w:rsidRPr="002B4F86" w:rsidRDefault="002B4F86" w:rsidP="002B4F86">
            <w:r w:rsidRPr="002B4F86">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8FF6E" w14:textId="77777777" w:rsidR="002B4F86" w:rsidRPr="002B4F86" w:rsidRDefault="002B4F86" w:rsidP="002B4F86">
            <w:r w:rsidRPr="002B4F86">
              <w:t>Often used in PCA; $p$ is smaller but still creates a dense loading problem.</w:t>
            </w:r>
          </w:p>
        </w:tc>
      </w:tr>
      <w:tr w:rsidR="002B4F86" w:rsidRPr="002B4F86" w14:paraId="1BE173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83EB6" w14:textId="77777777" w:rsidR="002B4F86" w:rsidRPr="002B4F86" w:rsidRDefault="002B4F86" w:rsidP="002B4F86">
            <w:r w:rsidRPr="002B4F86">
              <w:rPr>
                <w:b/>
                <w:bCs/>
              </w:rPr>
              <w:t>Pork Fat Raman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A94E0" w14:textId="77777777" w:rsidR="002B4F86" w:rsidRPr="002B4F86" w:rsidRDefault="002B4F86" w:rsidP="002B4F86">
            <w:r w:rsidRPr="002B4F86">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E1729" w14:textId="77777777" w:rsidR="002B4F86" w:rsidRPr="002B4F86" w:rsidRDefault="002B4F86" w:rsidP="002B4F86">
            <w:r w:rsidRPr="002B4F86">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B6C2B" w14:textId="77777777" w:rsidR="002B4F86" w:rsidRPr="002B4F86" w:rsidRDefault="002B4F86" w:rsidP="002B4F86">
            <w:r w:rsidRPr="002B4F86">
              <w:t>Varies by paper; uses spectral ranges like 700–1800 $cm</w:t>
            </w:r>
            <w:proofErr w:type="gramStart"/>
            <w:r w:rsidRPr="002B4F86">
              <w:t>^{</w:t>
            </w:r>
            <w:proofErr w:type="gramEnd"/>
            <w:r w:rsidRPr="002B4F86">
              <w:t>-</w:t>
            </w:r>
            <w:proofErr w:type="gramStart"/>
            <w:r w:rsidRPr="002B4F86">
              <w:t>1}$</w:t>
            </w:r>
            <w:proofErr w:type="gramEnd"/>
            <w:r w:rsidRPr="002B4F86">
              <w:t>.</w:t>
            </w:r>
          </w:p>
        </w:tc>
      </w:tr>
      <w:tr w:rsidR="002B4F86" w:rsidRPr="002B4F86" w14:paraId="309431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B8E96" w14:textId="77777777" w:rsidR="002B4F86" w:rsidRPr="002B4F86" w:rsidRDefault="002B4F86" w:rsidP="002B4F86">
            <w:r w:rsidRPr="002B4F86">
              <w:rPr>
                <w:b/>
                <w:bCs/>
              </w:rPr>
              <w:lastRenderedPageBreak/>
              <w:t>Salmon Muscle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9EE27" w14:textId="77777777" w:rsidR="002B4F86" w:rsidRPr="002B4F86" w:rsidRDefault="002B4F86" w:rsidP="002B4F86">
            <w:r w:rsidRPr="002B4F86">
              <w:t>618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229F5" w14:textId="77777777" w:rsidR="002B4F86" w:rsidRPr="002B4F86" w:rsidRDefault="002B4F86" w:rsidP="002B4F86">
            <w:r w:rsidRPr="002B4F86">
              <w:t>~1,300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06309" w14:textId="77777777" w:rsidR="002B4F86" w:rsidRPr="002B4F86" w:rsidRDefault="002B4F86" w:rsidP="002B4F86">
            <w:r w:rsidRPr="002B4F86">
              <w:t>Measured at $5 cm</w:t>
            </w:r>
            <w:proofErr w:type="gramStart"/>
            <w:r w:rsidRPr="002B4F86">
              <w:t>^{</w:t>
            </w:r>
            <w:proofErr w:type="gramEnd"/>
            <w:r w:rsidRPr="002B4F86">
              <w:t>-</w:t>
            </w:r>
            <w:proofErr w:type="gramStart"/>
            <w:r w:rsidRPr="002B4F86">
              <w:t>1}$</w:t>
            </w:r>
            <w:proofErr w:type="gramEnd"/>
            <w:r w:rsidRPr="002B4F86">
              <w:t xml:space="preserve"> resolution across 500–1800 $cm</w:t>
            </w:r>
            <w:proofErr w:type="gramStart"/>
            <w:r w:rsidRPr="002B4F86">
              <w:t>^{</w:t>
            </w:r>
            <w:proofErr w:type="gramEnd"/>
            <w:r w:rsidRPr="002B4F86">
              <w:t>-</w:t>
            </w:r>
            <w:proofErr w:type="gramStart"/>
            <w:r w:rsidRPr="002B4F86">
              <w:t>1}$</w:t>
            </w:r>
            <w:proofErr w:type="gramEnd"/>
            <w:r w:rsidRPr="002B4F86">
              <w:t>.</w:t>
            </w:r>
          </w:p>
        </w:tc>
      </w:tr>
    </w:tbl>
    <w:p w14:paraId="403FB8E9" w14:textId="77777777" w:rsidR="002B4F86" w:rsidRPr="002B4F86" w:rsidRDefault="002B4F86" w:rsidP="002B4F86">
      <w:pPr>
        <w:rPr>
          <w:b/>
          <w:bCs/>
        </w:rPr>
      </w:pPr>
      <w:r w:rsidRPr="002B4F86">
        <w:rPr>
          <w:b/>
          <w:bCs/>
        </w:rPr>
        <w:t>3. Functional and Survey Data</w:t>
      </w:r>
    </w:p>
    <w:p w14:paraId="67A5A5EC" w14:textId="77777777" w:rsidR="002B4F86" w:rsidRPr="002B4F86" w:rsidRDefault="002B4F86" w:rsidP="002B4F86">
      <w:r w:rsidRPr="002B4F86">
        <w:t>These are "medium" in both $n$ and $p$, making them good for demonstrating interpretability.</w:t>
      </w:r>
    </w:p>
    <w:tbl>
      <w:tblPr>
        <w:tblW w:w="5000" w:type="pct"/>
        <w:tblCellMar>
          <w:top w:w="15" w:type="dxa"/>
          <w:left w:w="15" w:type="dxa"/>
          <w:bottom w:w="15" w:type="dxa"/>
          <w:right w:w="15" w:type="dxa"/>
        </w:tblCellMar>
        <w:tblLook w:val="04A0" w:firstRow="1" w:lastRow="0" w:firstColumn="1" w:lastColumn="0" w:noHBand="0" w:noVBand="1"/>
      </w:tblPr>
      <w:tblGrid>
        <w:gridCol w:w="1944"/>
        <w:gridCol w:w="2006"/>
        <w:gridCol w:w="1567"/>
        <w:gridCol w:w="3823"/>
      </w:tblGrid>
      <w:tr w:rsidR="002B4F86" w:rsidRPr="002B4F86" w14:paraId="6B3B91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B426C" w14:textId="77777777" w:rsidR="002B4F86" w:rsidRPr="002B4F86" w:rsidRDefault="002B4F86" w:rsidP="002B4F86">
            <w:pPr>
              <w:rPr>
                <w:b/>
                <w:bCs/>
              </w:rPr>
            </w:pPr>
            <w:r w:rsidRPr="002B4F86">
              <w:rPr>
                <w:b/>
                <w:bCs/>
              </w:rPr>
              <w:t>Dataset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01474" w14:textId="77777777" w:rsidR="002B4F86" w:rsidRPr="002B4F86" w:rsidRDefault="002B4F86" w:rsidP="002B4F86">
            <w:pPr>
              <w:rPr>
                <w:b/>
                <w:bCs/>
              </w:rPr>
            </w:pPr>
            <w:r w:rsidRPr="002B4F86">
              <w:rPr>
                <w:b/>
                <w:bCs/>
              </w:rPr>
              <w:t>Observations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DA393" w14:textId="77777777" w:rsidR="002B4F86" w:rsidRPr="002B4F86" w:rsidRDefault="002B4F86" w:rsidP="002B4F86">
            <w:pPr>
              <w:rPr>
                <w:b/>
                <w:bCs/>
              </w:rPr>
            </w:pPr>
            <w:r w:rsidRPr="002B4F86">
              <w:rPr>
                <w:b/>
                <w:bCs/>
              </w:rPr>
              <w:t>Variables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8F494" w14:textId="77777777" w:rsidR="002B4F86" w:rsidRPr="002B4F86" w:rsidRDefault="002B4F86" w:rsidP="002B4F86">
            <w:pPr>
              <w:rPr>
                <w:b/>
                <w:bCs/>
              </w:rPr>
            </w:pPr>
            <w:r w:rsidRPr="002B4F86">
              <w:rPr>
                <w:b/>
                <w:bCs/>
              </w:rPr>
              <w:t>Notes</w:t>
            </w:r>
          </w:p>
        </w:tc>
      </w:tr>
      <w:tr w:rsidR="002B4F86" w:rsidRPr="002B4F86" w14:paraId="6575CC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7799" w14:textId="77777777" w:rsidR="002B4F86" w:rsidRPr="002B4F86" w:rsidRDefault="002B4F86" w:rsidP="002B4F86">
            <w:r w:rsidRPr="002B4F86">
              <w:rPr>
                <w:b/>
                <w:bCs/>
              </w:rPr>
              <w:t>Canadian Temp.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0045F" w14:textId="77777777" w:rsidR="002B4F86" w:rsidRPr="002B4F86" w:rsidRDefault="002B4F86" w:rsidP="002B4F86">
            <w:r w:rsidRPr="002B4F86">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4778B" w14:textId="77777777" w:rsidR="002B4F86" w:rsidRPr="002B4F86" w:rsidRDefault="002B4F86" w:rsidP="002B4F86">
            <w:r w:rsidRPr="002B4F86">
              <w:t>365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AF0D3" w14:textId="77777777" w:rsidR="002B4F86" w:rsidRPr="002B4F86" w:rsidRDefault="002B4F86" w:rsidP="002B4F86">
            <w:r w:rsidRPr="002B4F86">
              <w:t>Daily temps for 35 cities; classic for Functional PCA.</w:t>
            </w:r>
          </w:p>
        </w:tc>
      </w:tr>
      <w:tr w:rsidR="002B4F86" w:rsidRPr="002B4F86" w14:paraId="5B0143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59C9C" w14:textId="77777777" w:rsidR="002B4F86" w:rsidRPr="002B4F86" w:rsidRDefault="002B4F86" w:rsidP="002B4F86">
            <w:r w:rsidRPr="002B4F86">
              <w:rPr>
                <w:b/>
                <w:bCs/>
              </w:rPr>
              <w:t>Big Five Personality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60E4C" w14:textId="77777777" w:rsidR="002B4F86" w:rsidRPr="002B4F86" w:rsidRDefault="002B4F86" w:rsidP="002B4F86">
            <w:r w:rsidRPr="002B4F86">
              <w:t>~200–500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5CBE" w14:textId="77777777" w:rsidR="002B4F86" w:rsidRPr="002B4F86" w:rsidRDefault="002B4F86" w:rsidP="002B4F86">
            <w:r w:rsidRPr="002B4F86">
              <w:t>50–100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5A46B" w14:textId="77777777" w:rsidR="002B4F86" w:rsidRPr="002B4F86" w:rsidRDefault="002B4F86" w:rsidP="002B4F86">
            <w:r w:rsidRPr="002B4F86">
              <w:t>Based on the 50-item IPIP Big-Five factor markers.</w:t>
            </w:r>
          </w:p>
        </w:tc>
      </w:tr>
    </w:tbl>
    <w:p w14:paraId="5A8B8DFD" w14:textId="77777777" w:rsidR="002B4F86" w:rsidRPr="002B4F86" w:rsidRDefault="002B4F86" w:rsidP="002B4F86">
      <w:pPr>
        <w:rPr>
          <w:b/>
          <w:bCs/>
        </w:rPr>
      </w:pPr>
      <w:r w:rsidRPr="002B4F86">
        <w:rPr>
          <w:b/>
          <w:bCs/>
        </w:rPr>
        <w:t>Which one should you choose?</w:t>
      </w:r>
    </w:p>
    <w:p w14:paraId="36D30657" w14:textId="77777777" w:rsidR="002B4F86" w:rsidRPr="002B4F86" w:rsidRDefault="002B4F86" w:rsidP="002B4F86">
      <w:pPr>
        <w:numPr>
          <w:ilvl w:val="0"/>
          <w:numId w:val="7"/>
        </w:numPr>
      </w:pPr>
      <w:r w:rsidRPr="002B4F86">
        <w:rPr>
          <w:b/>
          <w:bCs/>
        </w:rPr>
        <w:t>For extreme sparsity testing:</w:t>
      </w:r>
      <w:r w:rsidRPr="002B4F86">
        <w:t xml:space="preserve"> Choose </w:t>
      </w:r>
      <w:r w:rsidRPr="002B4F86">
        <w:rPr>
          <w:b/>
          <w:bCs/>
        </w:rPr>
        <w:t>Singh Prostate</w:t>
      </w:r>
      <w:r w:rsidRPr="002B4F86">
        <w:t xml:space="preserve"> ($p=12,600$). It forces the algorithm to handle a massive variable-to-observation ratio.</w:t>
      </w:r>
    </w:p>
    <w:p w14:paraId="58A712DE" w14:textId="77777777" w:rsidR="002B4F86" w:rsidRPr="002B4F86" w:rsidRDefault="002B4F86" w:rsidP="002B4F86">
      <w:pPr>
        <w:numPr>
          <w:ilvl w:val="0"/>
          <w:numId w:val="7"/>
        </w:numPr>
      </w:pPr>
      <w:r w:rsidRPr="002B4F86">
        <w:rPr>
          <w:b/>
          <w:bCs/>
        </w:rPr>
        <w:t>For classic benchmarking:</w:t>
      </w:r>
      <w:r w:rsidRPr="002B4F86">
        <w:t xml:space="preserve"> Choose </w:t>
      </w:r>
      <w:r w:rsidRPr="002B4F86">
        <w:rPr>
          <w:b/>
          <w:bCs/>
        </w:rPr>
        <w:t>Golub Leukemia</w:t>
      </w:r>
      <w:r w:rsidRPr="002B4F86">
        <w:t>. Most SPCA papers (like Zou et al.) use this as their primary example.</w:t>
      </w:r>
    </w:p>
    <w:p w14:paraId="1C8BB1A2" w14:textId="77777777" w:rsidR="002B4F86" w:rsidRPr="002B4F86" w:rsidRDefault="002B4F86" w:rsidP="002B4F86">
      <w:pPr>
        <w:numPr>
          <w:ilvl w:val="0"/>
          <w:numId w:val="7"/>
        </w:numPr>
      </w:pPr>
      <w:r w:rsidRPr="002B4F86">
        <w:rPr>
          <w:b/>
          <w:bCs/>
        </w:rPr>
        <w:t>For physical interpretation:</w:t>
      </w:r>
      <w:r w:rsidRPr="002B4F86">
        <w:t xml:space="preserve"> Choose the </w:t>
      </w:r>
      <w:r w:rsidRPr="002B4F86">
        <w:rPr>
          <w:b/>
          <w:bCs/>
        </w:rPr>
        <w:t>Raman Spectroscopy</w:t>
      </w:r>
      <w:r w:rsidRPr="002B4F86">
        <w:t xml:space="preserve"> data. The "sparse" results will map directly to known chemical bonds/peaks. [11] </w:t>
      </w:r>
    </w:p>
    <w:p w14:paraId="362A454E" w14:textId="77777777" w:rsidR="002B4F86" w:rsidRPr="002B4F86" w:rsidRDefault="002B4F86" w:rsidP="002B4F86">
      <w:r w:rsidRPr="002B4F86">
        <w:t xml:space="preserve">Would you like the </w:t>
      </w:r>
      <w:r w:rsidRPr="002B4F86">
        <w:rPr>
          <w:b/>
          <w:bCs/>
        </w:rPr>
        <w:t>links to download</w:t>
      </w:r>
      <w:r w:rsidRPr="002B4F86">
        <w:t xml:space="preserve"> any of these specific CSV/R-data files?</w:t>
      </w:r>
    </w:p>
    <w:p w14:paraId="0EB196AF" w14:textId="77777777" w:rsidR="002B4F86" w:rsidRPr="002B4F86" w:rsidRDefault="002B4F86" w:rsidP="002B4F86"/>
    <w:p w14:paraId="4DEE66C7" w14:textId="77777777" w:rsidR="002B4F86" w:rsidRPr="002B4F86" w:rsidRDefault="002B4F86" w:rsidP="002B4F86">
      <w:r w:rsidRPr="002B4F86">
        <w:t xml:space="preserve">[1] </w:t>
      </w:r>
      <w:hyperlink r:id="rId6" w:history="1">
        <w:r w:rsidRPr="002B4F86">
          <w:rPr>
            <w:rStyle w:val="Hyperlink"/>
          </w:rPr>
          <w:t>https://aast.edu</w:t>
        </w:r>
      </w:hyperlink>
    </w:p>
    <w:p w14:paraId="4DE9CAC4" w14:textId="77777777" w:rsidR="002B4F86" w:rsidRPr="002B4F86" w:rsidRDefault="002B4F86" w:rsidP="002B4F86">
      <w:r w:rsidRPr="002B4F86">
        <w:t xml:space="preserve">[2] </w:t>
      </w:r>
      <w:hyperlink r:id="rId7" w:history="1">
        <w:r w:rsidRPr="002B4F86">
          <w:rPr>
            <w:rStyle w:val="Hyperlink"/>
          </w:rPr>
          <w:t>https://fisher.stats.uwo.ca</w:t>
        </w:r>
      </w:hyperlink>
    </w:p>
    <w:p w14:paraId="1D149F51" w14:textId="77777777" w:rsidR="002B4F86" w:rsidRPr="002B4F86" w:rsidRDefault="002B4F86" w:rsidP="002B4F86">
      <w:r w:rsidRPr="002B4F86">
        <w:t xml:space="preserve">[3] </w:t>
      </w:r>
      <w:hyperlink r:id="rId8" w:history="1">
        <w:r w:rsidRPr="002B4F86">
          <w:rPr>
            <w:rStyle w:val="Hyperlink"/>
          </w:rPr>
          <w:t>https://leo.ugr.es</w:t>
        </w:r>
      </w:hyperlink>
    </w:p>
    <w:p w14:paraId="3B309F4C" w14:textId="77777777" w:rsidR="002B4F86" w:rsidRPr="002B4F86" w:rsidRDefault="002B4F86" w:rsidP="002B4F86">
      <w:r w:rsidRPr="002B4F86">
        <w:t xml:space="preserve">[4] </w:t>
      </w:r>
      <w:hyperlink r:id="rId9" w:history="1">
        <w:r w:rsidRPr="002B4F86">
          <w:rPr>
            <w:rStyle w:val="Hyperlink"/>
          </w:rPr>
          <w:t>https://www.rdocumentation.org</w:t>
        </w:r>
      </w:hyperlink>
    </w:p>
    <w:p w14:paraId="535BFB47" w14:textId="77777777" w:rsidR="002B4F86" w:rsidRPr="002B4F86" w:rsidRDefault="002B4F86" w:rsidP="002B4F86">
      <w:r w:rsidRPr="002B4F86">
        <w:t xml:space="preserve">[5] </w:t>
      </w:r>
      <w:hyperlink r:id="rId10" w:history="1">
        <w:r w:rsidRPr="002B4F86">
          <w:rPr>
            <w:rStyle w:val="Hyperlink"/>
          </w:rPr>
          <w:t>https://pmc.ncbi.nlm.nih.gov</w:t>
        </w:r>
      </w:hyperlink>
    </w:p>
    <w:p w14:paraId="0AC3B660" w14:textId="77777777" w:rsidR="002B4F86" w:rsidRPr="002B4F86" w:rsidRDefault="002B4F86" w:rsidP="002B4F86">
      <w:r w:rsidRPr="002B4F86">
        <w:t xml:space="preserve">[6] </w:t>
      </w:r>
      <w:hyperlink r:id="rId11" w:history="1">
        <w:r w:rsidRPr="002B4F86">
          <w:rPr>
            <w:rStyle w:val="Hyperlink"/>
          </w:rPr>
          <w:t>https://www.openintro.org</w:t>
        </w:r>
      </w:hyperlink>
    </w:p>
    <w:p w14:paraId="113843B7" w14:textId="77777777" w:rsidR="002B4F86" w:rsidRPr="002B4F86" w:rsidRDefault="002B4F86" w:rsidP="002B4F86">
      <w:r w:rsidRPr="002B4F86">
        <w:t xml:space="preserve">[7] </w:t>
      </w:r>
      <w:hyperlink r:id="rId12" w:history="1">
        <w:r w:rsidRPr="002B4F86">
          <w:rPr>
            <w:rStyle w:val="Hyperlink"/>
          </w:rPr>
          <w:t>https://www.researchgate.net</w:t>
        </w:r>
      </w:hyperlink>
    </w:p>
    <w:p w14:paraId="368A77DB" w14:textId="77777777" w:rsidR="002B4F86" w:rsidRPr="002B4F86" w:rsidRDefault="002B4F86" w:rsidP="002B4F86">
      <w:r w:rsidRPr="002B4F86">
        <w:lastRenderedPageBreak/>
        <w:t xml:space="preserve">[8] </w:t>
      </w:r>
      <w:hyperlink r:id="rId13" w:history="1">
        <w:r w:rsidRPr="002B4F86">
          <w:rPr>
            <w:rStyle w:val="Hyperlink"/>
          </w:rPr>
          <w:t>https://www.mdpi.com</w:t>
        </w:r>
      </w:hyperlink>
    </w:p>
    <w:p w14:paraId="7924E51F" w14:textId="77777777" w:rsidR="002B4F86" w:rsidRPr="002B4F86" w:rsidRDefault="002B4F86" w:rsidP="002B4F86">
      <w:r w:rsidRPr="002B4F86">
        <w:t xml:space="preserve">[9] </w:t>
      </w:r>
      <w:hyperlink r:id="rId14" w:history="1">
        <w:r w:rsidRPr="002B4F86">
          <w:rPr>
            <w:rStyle w:val="Hyperlink"/>
          </w:rPr>
          <w:t>https://pmc.ncbi.nlm.nih.gov</w:t>
        </w:r>
      </w:hyperlink>
    </w:p>
    <w:p w14:paraId="1776CAEE" w14:textId="77777777" w:rsidR="002B4F86" w:rsidRPr="002B4F86" w:rsidRDefault="002B4F86" w:rsidP="002B4F86">
      <w:r w:rsidRPr="002B4F86">
        <w:t xml:space="preserve">[10] </w:t>
      </w:r>
      <w:hyperlink r:id="rId15" w:history="1">
        <w:r w:rsidRPr="002B4F86">
          <w:rPr>
            <w:rStyle w:val="Hyperlink"/>
          </w:rPr>
          <w:t>https://www.mdpi.com</w:t>
        </w:r>
      </w:hyperlink>
    </w:p>
    <w:p w14:paraId="4353B8E5" w14:textId="77777777" w:rsidR="002B4F86" w:rsidRPr="002B4F86" w:rsidRDefault="002B4F86" w:rsidP="002B4F86">
      <w:r w:rsidRPr="002B4F86">
        <w:t xml:space="preserve">[11] </w:t>
      </w:r>
      <w:hyperlink r:id="rId16" w:history="1">
        <w:r w:rsidRPr="002B4F86">
          <w:rPr>
            <w:rStyle w:val="Hyperlink"/>
          </w:rPr>
          <w:t>https://acspublisher.com</w:t>
        </w:r>
      </w:hyperlink>
    </w:p>
    <w:p w14:paraId="02AAB676" w14:textId="7DE8F803" w:rsidR="002B4F86" w:rsidRDefault="002B4F86" w:rsidP="002B4F86"/>
    <w:p w14:paraId="654F17F4" w14:textId="7CC102C4" w:rsidR="00D1220C" w:rsidRDefault="00D1220C" w:rsidP="00D1220C">
      <w:pPr>
        <w:pStyle w:val="Heading1"/>
      </w:pPr>
      <w:r>
        <w:t>Golub leukemia</w:t>
      </w:r>
    </w:p>
    <w:p w14:paraId="554EFF35" w14:textId="77777777" w:rsidR="008163D2" w:rsidRPr="008163D2" w:rsidRDefault="008163D2" w:rsidP="008163D2">
      <w:r w:rsidRPr="008163D2">
        <w:t xml:space="preserve">The Golub Leukemia dataset (1999) is a foundational dataset in high-dimensional statistics. It is most famously used to demonstrate how </w:t>
      </w:r>
      <w:r w:rsidRPr="008163D2">
        <w:rPr>
          <w:b/>
          <w:bCs/>
        </w:rPr>
        <w:t>Sparse PCA (SPCA)</w:t>
      </w:r>
      <w:r w:rsidRPr="008163D2">
        <w:t xml:space="preserve"> can extract a handful of biologically relevant genes from a "fat" matrix of thousands of predictors. [1] </w:t>
      </w:r>
    </w:p>
    <w:p w14:paraId="52A181F3" w14:textId="77777777" w:rsidR="008163D2" w:rsidRPr="008163D2" w:rsidRDefault="008163D2" w:rsidP="008163D2">
      <w:pPr>
        <w:rPr>
          <w:b/>
          <w:bCs/>
        </w:rPr>
      </w:pPr>
      <w:r w:rsidRPr="008163D2">
        <w:rPr>
          <w:b/>
          <w:bCs/>
        </w:rPr>
        <w:t>1. Seminal SPCA &amp; PCA Methodological Works</w:t>
      </w:r>
    </w:p>
    <w:p w14:paraId="19031E1F" w14:textId="77777777" w:rsidR="008163D2" w:rsidRPr="008163D2" w:rsidRDefault="008163D2" w:rsidP="008163D2">
      <w:r w:rsidRPr="008163D2">
        <w:t>These papers introduced or refined Sparse PCA methods and used the Golub dataset as a primary benchmark to prove their effectiveness.</w:t>
      </w:r>
    </w:p>
    <w:p w14:paraId="27A752BF" w14:textId="77777777" w:rsidR="008163D2" w:rsidRPr="008163D2" w:rsidRDefault="008163D2" w:rsidP="008163D2">
      <w:pPr>
        <w:numPr>
          <w:ilvl w:val="0"/>
          <w:numId w:val="8"/>
        </w:numPr>
      </w:pPr>
      <w:hyperlink r:id="rId17" w:history="1">
        <w:r w:rsidRPr="008163D2">
          <w:rPr>
            <w:rStyle w:val="Hyperlink"/>
            <w:b/>
            <w:bCs/>
          </w:rPr>
          <w:t>Sparse Principal Component Analysis</w:t>
        </w:r>
      </w:hyperlink>
      <w:r w:rsidRPr="008163D2">
        <w:rPr>
          <w:b/>
          <w:bCs/>
        </w:rPr>
        <w:t xml:space="preserve"> (Zou, Hastie, &amp; </w:t>
      </w:r>
      <w:proofErr w:type="spellStart"/>
      <w:r w:rsidRPr="008163D2">
        <w:rPr>
          <w:b/>
          <w:bCs/>
        </w:rPr>
        <w:t>Tibshirani</w:t>
      </w:r>
      <w:proofErr w:type="spellEnd"/>
      <w:r w:rsidRPr="008163D2">
        <w:rPr>
          <w:b/>
          <w:bCs/>
        </w:rPr>
        <w:t>, 2006):</w:t>
      </w:r>
      <w:r w:rsidRPr="008163D2">
        <w:t xml:space="preserve"> The definitive paper for SPCA. It uses the Golub dataset to show that while ordinary PCA loadings are "dense" (all genes contribute slightly), SPCA identifies a sparse set of genes that clearly distinguish between AML and ALL leukemia types. [2, 3, 4] </w:t>
      </w:r>
    </w:p>
    <w:p w14:paraId="591E27CD" w14:textId="77777777" w:rsidR="008163D2" w:rsidRPr="008163D2" w:rsidRDefault="008163D2" w:rsidP="008163D2">
      <w:pPr>
        <w:numPr>
          <w:ilvl w:val="0"/>
          <w:numId w:val="8"/>
        </w:numPr>
      </w:pPr>
      <w:hyperlink r:id="rId18" w:history="1">
        <w:r w:rsidRPr="008163D2">
          <w:rPr>
            <w:rStyle w:val="Hyperlink"/>
            <w:b/>
            <w:bCs/>
          </w:rPr>
          <w:t>A Penalized Matrix Decomposition (PMD)</w:t>
        </w:r>
      </w:hyperlink>
      <w:r w:rsidRPr="008163D2">
        <w:rPr>
          <w:b/>
          <w:bCs/>
        </w:rPr>
        <w:t xml:space="preserve"> (Witten, </w:t>
      </w:r>
      <w:proofErr w:type="spellStart"/>
      <w:r w:rsidRPr="008163D2">
        <w:rPr>
          <w:b/>
          <w:bCs/>
        </w:rPr>
        <w:t>Tibshirani</w:t>
      </w:r>
      <w:proofErr w:type="spellEnd"/>
      <w:r w:rsidRPr="008163D2">
        <w:rPr>
          <w:b/>
          <w:bCs/>
        </w:rPr>
        <w:t>, &amp; Hastie, 2009):</w:t>
      </w:r>
      <w:r w:rsidRPr="008163D2">
        <w:t xml:space="preserve"> Introduces a framework for sparse SVD and SPCA. It demonstrates its "PMA" algorithm on this dataset to find interpretable gene clusters. [5, 6] </w:t>
      </w:r>
    </w:p>
    <w:p w14:paraId="74E9C913" w14:textId="77777777" w:rsidR="008163D2" w:rsidRPr="008163D2" w:rsidRDefault="008163D2" w:rsidP="008163D2">
      <w:pPr>
        <w:numPr>
          <w:ilvl w:val="0"/>
          <w:numId w:val="8"/>
        </w:numPr>
      </w:pPr>
      <w:hyperlink r:id="rId19" w:history="1">
        <w:r w:rsidRPr="008163D2">
          <w:rPr>
            <w:rStyle w:val="Hyperlink"/>
            <w:b/>
            <w:bCs/>
          </w:rPr>
          <w:t xml:space="preserve">Gene Expression Data Classification </w:t>
        </w:r>
        <w:proofErr w:type="gramStart"/>
        <w:r w:rsidRPr="008163D2">
          <w:rPr>
            <w:rStyle w:val="Hyperlink"/>
            <w:b/>
            <w:bCs/>
          </w:rPr>
          <w:t>With</w:t>
        </w:r>
        <w:proofErr w:type="gramEnd"/>
        <w:r w:rsidRPr="008163D2">
          <w:rPr>
            <w:rStyle w:val="Hyperlink"/>
            <w:b/>
            <w:bCs/>
          </w:rPr>
          <w:t xml:space="preserve"> Kernel Principal Component Analysis</w:t>
        </w:r>
      </w:hyperlink>
      <w:r w:rsidRPr="008163D2">
        <w:rPr>
          <w:b/>
          <w:bCs/>
        </w:rPr>
        <w:t xml:space="preserve"> (Zhang &amp; Shen, 2005):</w:t>
      </w:r>
      <w:r w:rsidRPr="008163D2">
        <w:t xml:space="preserve"> Uses </w:t>
      </w:r>
      <w:r w:rsidRPr="008163D2">
        <w:rPr>
          <w:b/>
          <w:bCs/>
        </w:rPr>
        <w:t>Kernel PCA (KPCA)</w:t>
      </w:r>
      <w:r w:rsidRPr="008163D2">
        <w:t xml:space="preserve"> on the 7,129 genes to perform non-linear dimension reduction for better classification accuracy. [7, 8] </w:t>
      </w:r>
    </w:p>
    <w:p w14:paraId="47D3C36E" w14:textId="77777777" w:rsidR="008163D2" w:rsidRPr="008163D2" w:rsidRDefault="008163D2" w:rsidP="008163D2">
      <w:pPr>
        <w:numPr>
          <w:ilvl w:val="0"/>
          <w:numId w:val="8"/>
        </w:numPr>
      </w:pPr>
      <w:hyperlink r:id="rId20" w:history="1">
        <w:r w:rsidRPr="008163D2">
          <w:rPr>
            <w:rStyle w:val="Hyperlink"/>
            <w:b/>
            <w:bCs/>
          </w:rPr>
          <w:t>Covariance Supervised Principal Component Analysis</w:t>
        </w:r>
      </w:hyperlink>
      <w:r w:rsidRPr="008163D2">
        <w:rPr>
          <w:b/>
          <w:bCs/>
        </w:rPr>
        <w:t xml:space="preserve"> (Lyu et al., 2024/2025):</w:t>
      </w:r>
      <w:r w:rsidRPr="008163D2">
        <w:t xml:space="preserve"> A modern extension that uses the Golub dataset to compare </w:t>
      </w:r>
      <w:r w:rsidRPr="008163D2">
        <w:rPr>
          <w:b/>
          <w:bCs/>
        </w:rPr>
        <w:t>Supervised PCA</w:t>
      </w:r>
      <w:r w:rsidRPr="008163D2">
        <w:t xml:space="preserve"> against standard SPCA for disease classification. [9, 10] </w:t>
      </w:r>
    </w:p>
    <w:p w14:paraId="21FD3199" w14:textId="77777777" w:rsidR="008163D2" w:rsidRPr="008163D2" w:rsidRDefault="008163D2" w:rsidP="008163D2">
      <w:pPr>
        <w:numPr>
          <w:ilvl w:val="0"/>
          <w:numId w:val="8"/>
        </w:numPr>
      </w:pPr>
      <w:r w:rsidRPr="008163D2">
        <w:rPr>
          <w:b/>
          <w:bCs/>
        </w:rPr>
        <w:t>Sparse principal component analysis via regularized low rank matrix approximation (Shen &amp; Huang, 2008):</w:t>
      </w:r>
      <w:r w:rsidRPr="008163D2">
        <w:t xml:space="preserve"> Often cited alongside Zou et al., this work uses gene expression data (including Golub-like structures) to test their SVD-based approach to sparsity. [6, 11] </w:t>
      </w:r>
    </w:p>
    <w:p w14:paraId="09647DDF" w14:textId="77777777" w:rsidR="008163D2" w:rsidRPr="008163D2" w:rsidRDefault="008163D2" w:rsidP="008163D2">
      <w:pPr>
        <w:rPr>
          <w:b/>
          <w:bCs/>
        </w:rPr>
      </w:pPr>
      <w:r w:rsidRPr="008163D2">
        <w:rPr>
          <w:b/>
          <w:bCs/>
        </w:rPr>
        <w:t>2. Comparative &amp; Survey Works</w:t>
      </w:r>
    </w:p>
    <w:p w14:paraId="6F3D8BD5" w14:textId="77777777" w:rsidR="008163D2" w:rsidRPr="008163D2" w:rsidRDefault="008163D2" w:rsidP="008163D2">
      <w:r w:rsidRPr="008163D2">
        <w:lastRenderedPageBreak/>
        <w:t>These works do not invent new PCA methods but use the Golub data to evaluate which existing methods work best for high-dimensional "fat" matrices.</w:t>
      </w:r>
    </w:p>
    <w:p w14:paraId="272A5095" w14:textId="77777777" w:rsidR="008163D2" w:rsidRPr="008163D2" w:rsidRDefault="008163D2" w:rsidP="008163D2">
      <w:pPr>
        <w:numPr>
          <w:ilvl w:val="0"/>
          <w:numId w:val="9"/>
        </w:numPr>
      </w:pPr>
      <w:hyperlink r:id="rId21" w:history="1">
        <w:r w:rsidRPr="008163D2">
          <w:rPr>
            <w:rStyle w:val="Hyperlink"/>
            <w:b/>
            <w:bCs/>
          </w:rPr>
          <w:t>A Guide for Sparse PCA: Model Comparison and Applications</w:t>
        </w:r>
      </w:hyperlink>
      <w:r w:rsidRPr="008163D2">
        <w:rPr>
          <w:b/>
          <w:bCs/>
        </w:rPr>
        <w:t xml:space="preserve"> (</w:t>
      </w:r>
      <w:proofErr w:type="spellStart"/>
      <w:r w:rsidRPr="008163D2">
        <w:rPr>
          <w:b/>
          <w:bCs/>
        </w:rPr>
        <w:t>Trendafilov</w:t>
      </w:r>
      <w:proofErr w:type="spellEnd"/>
      <w:r w:rsidRPr="008163D2">
        <w:rPr>
          <w:b/>
          <w:bCs/>
        </w:rPr>
        <w:t xml:space="preserve"> et al., 2021):</w:t>
      </w:r>
      <w:r w:rsidRPr="008163D2">
        <w:t xml:space="preserve"> A comprehensive review that uses the dataset to compare the stability and variance of different SPCA algorithms. [12, 13] </w:t>
      </w:r>
    </w:p>
    <w:p w14:paraId="1D6234AE" w14:textId="77777777" w:rsidR="008163D2" w:rsidRPr="008163D2" w:rsidRDefault="008163D2" w:rsidP="008163D2">
      <w:pPr>
        <w:numPr>
          <w:ilvl w:val="0"/>
          <w:numId w:val="9"/>
        </w:numPr>
      </w:pPr>
      <w:hyperlink r:id="rId22" w:history="1">
        <w:r w:rsidRPr="008163D2">
          <w:rPr>
            <w:rStyle w:val="Hyperlink"/>
            <w:b/>
            <w:bCs/>
          </w:rPr>
          <w:t>Leukemia Classification using PCA and Ensemble Learning</w:t>
        </w:r>
      </w:hyperlink>
      <w:r w:rsidRPr="008163D2">
        <w:rPr>
          <w:b/>
          <w:bCs/>
        </w:rPr>
        <w:t xml:space="preserve"> (2023):</w:t>
      </w:r>
      <w:r w:rsidRPr="008163D2">
        <w:t xml:space="preserve"> Combines PCA for feature selection with Stacking algorithms, achieving high accuracy on the original 72-sample dataset. [14, 15] </w:t>
      </w:r>
    </w:p>
    <w:p w14:paraId="5B8BB4CD" w14:textId="77777777" w:rsidR="008163D2" w:rsidRPr="008163D2" w:rsidRDefault="008163D2" w:rsidP="008163D2">
      <w:pPr>
        <w:rPr>
          <w:b/>
          <w:bCs/>
        </w:rPr>
      </w:pPr>
      <w:r w:rsidRPr="008163D2">
        <w:rPr>
          <w:b/>
          <w:bCs/>
        </w:rPr>
        <w:t>3. Original &amp; Domain-Specific Works</w:t>
      </w:r>
    </w:p>
    <w:p w14:paraId="19A40227" w14:textId="77777777" w:rsidR="008163D2" w:rsidRPr="008163D2" w:rsidRDefault="008163D2" w:rsidP="008163D2">
      <w:pPr>
        <w:numPr>
          <w:ilvl w:val="0"/>
          <w:numId w:val="10"/>
        </w:numPr>
      </w:pPr>
      <w:hyperlink r:id="rId23" w:history="1">
        <w:r w:rsidRPr="008163D2">
          <w:rPr>
            <w:rStyle w:val="Hyperlink"/>
            <w:b/>
            <w:bCs/>
          </w:rPr>
          <w:t>Molecular Classification of Cancer</w:t>
        </w:r>
      </w:hyperlink>
      <w:r w:rsidRPr="008163D2">
        <w:rPr>
          <w:b/>
          <w:bCs/>
        </w:rPr>
        <w:t xml:space="preserve"> (Golub et al., 1999):</w:t>
      </w:r>
      <w:r w:rsidRPr="008163D2">
        <w:t xml:space="preserve"> The original study that generated the data. While it used a "Weighted Voting" scheme rather than SPCA, it set the stage for all future dimension-reduction research on this matrix. [16, 17, 18] </w:t>
      </w:r>
    </w:p>
    <w:p w14:paraId="43F3584D" w14:textId="77777777" w:rsidR="008163D2" w:rsidRPr="008163D2" w:rsidRDefault="008163D2" w:rsidP="008163D2">
      <w:pPr>
        <w:numPr>
          <w:ilvl w:val="0"/>
          <w:numId w:val="10"/>
        </w:numPr>
      </w:pPr>
      <w:r w:rsidRPr="008163D2">
        <w:rPr>
          <w:b/>
          <w:bCs/>
        </w:rPr>
        <w:t>Improving Molecular Cancer Class Discovery Through Sparse Non-negative Matrix Factorization (Gao &amp; Church, 2005):</w:t>
      </w:r>
      <w:r w:rsidRPr="008163D2">
        <w:t xml:space="preserve"> Compares SPCA-like results with </w:t>
      </w:r>
      <w:r w:rsidRPr="008163D2">
        <w:rPr>
          <w:b/>
          <w:bCs/>
        </w:rPr>
        <w:t>Sparse NMF</w:t>
      </w:r>
      <w:r w:rsidRPr="008163D2">
        <w:t xml:space="preserve"> to see which provides more biologically interpretable gene clusters. [4] </w:t>
      </w:r>
    </w:p>
    <w:p w14:paraId="698F5C69" w14:textId="77777777" w:rsidR="008163D2" w:rsidRPr="008163D2" w:rsidRDefault="008163D2" w:rsidP="008163D2">
      <w:r w:rsidRPr="008163D2">
        <w:t xml:space="preserve">Would you like the </w:t>
      </w:r>
      <w:r w:rsidRPr="008163D2">
        <w:rPr>
          <w:b/>
          <w:bCs/>
        </w:rPr>
        <w:t xml:space="preserve">full </w:t>
      </w:r>
      <w:proofErr w:type="spellStart"/>
      <w:r w:rsidRPr="008163D2">
        <w:rPr>
          <w:b/>
          <w:bCs/>
        </w:rPr>
        <w:t>BibTeX</w:t>
      </w:r>
      <w:proofErr w:type="spellEnd"/>
      <w:r w:rsidRPr="008163D2">
        <w:rPr>
          <w:b/>
          <w:bCs/>
        </w:rPr>
        <w:t xml:space="preserve"> citations</w:t>
      </w:r>
      <w:r w:rsidRPr="008163D2">
        <w:t xml:space="preserve"> for any of these papers to include in your bibliography?</w:t>
      </w:r>
    </w:p>
    <w:p w14:paraId="3BD90B33" w14:textId="77777777" w:rsidR="008163D2" w:rsidRPr="008163D2" w:rsidRDefault="008163D2" w:rsidP="008163D2"/>
    <w:p w14:paraId="108F8251" w14:textId="77777777" w:rsidR="008163D2" w:rsidRPr="008163D2" w:rsidRDefault="008163D2" w:rsidP="008163D2">
      <w:r w:rsidRPr="008163D2">
        <w:t xml:space="preserve">[1] </w:t>
      </w:r>
      <w:hyperlink r:id="rId24" w:history="1">
        <w:r w:rsidRPr="008163D2">
          <w:rPr>
            <w:rStyle w:val="Hyperlink"/>
          </w:rPr>
          <w:t>https://www.kaggle.com</w:t>
        </w:r>
      </w:hyperlink>
    </w:p>
    <w:p w14:paraId="6C870848" w14:textId="77777777" w:rsidR="008163D2" w:rsidRPr="008163D2" w:rsidRDefault="008163D2" w:rsidP="008163D2">
      <w:r w:rsidRPr="008163D2">
        <w:t xml:space="preserve">[2] </w:t>
      </w:r>
      <w:hyperlink r:id="rId25" w:history="1">
        <w:r w:rsidRPr="008163D2">
          <w:rPr>
            <w:rStyle w:val="Hyperlink"/>
          </w:rPr>
          <w:t>https://hastie.su.domains</w:t>
        </w:r>
      </w:hyperlink>
    </w:p>
    <w:p w14:paraId="1355AE77" w14:textId="77777777" w:rsidR="008163D2" w:rsidRPr="008163D2" w:rsidRDefault="008163D2" w:rsidP="008163D2">
      <w:r w:rsidRPr="008163D2">
        <w:t xml:space="preserve">[3] </w:t>
      </w:r>
      <w:hyperlink r:id="rId26" w:history="1">
        <w:r w:rsidRPr="008163D2">
          <w:rPr>
            <w:rStyle w:val="Hyperlink"/>
          </w:rPr>
          <w:t>https://www2.imm.dtu.dk</w:t>
        </w:r>
      </w:hyperlink>
    </w:p>
    <w:p w14:paraId="5912CBE4" w14:textId="77777777" w:rsidR="008163D2" w:rsidRPr="008163D2" w:rsidRDefault="008163D2" w:rsidP="008163D2">
      <w:r w:rsidRPr="008163D2">
        <w:t xml:space="preserve">[4] </w:t>
      </w:r>
      <w:hyperlink r:id="rId27" w:history="1">
        <w:r w:rsidRPr="008163D2">
          <w:rPr>
            <w:rStyle w:val="Hyperlink"/>
          </w:rPr>
          <w:t>https://academic.oup.com</w:t>
        </w:r>
      </w:hyperlink>
    </w:p>
    <w:p w14:paraId="4124E0AA" w14:textId="77777777" w:rsidR="008163D2" w:rsidRPr="008163D2" w:rsidRDefault="008163D2" w:rsidP="008163D2">
      <w:r w:rsidRPr="008163D2">
        <w:t xml:space="preserve">[5] </w:t>
      </w:r>
      <w:hyperlink r:id="rId28" w:history="1">
        <w:r w:rsidRPr="008163D2">
          <w:rPr>
            <w:rStyle w:val="Hyperlink"/>
          </w:rPr>
          <w:t>https://pmc.ncbi.nlm.nih.gov</w:t>
        </w:r>
      </w:hyperlink>
    </w:p>
    <w:p w14:paraId="3ECBB6BF" w14:textId="77777777" w:rsidR="008163D2" w:rsidRPr="008163D2" w:rsidRDefault="008163D2" w:rsidP="008163D2">
      <w:r w:rsidRPr="008163D2">
        <w:t xml:space="preserve">[6] </w:t>
      </w:r>
      <w:hyperlink r:id="rId29" w:history="1">
        <w:r w:rsidRPr="008163D2">
          <w:rPr>
            <w:rStyle w:val="Hyperlink"/>
          </w:rPr>
          <w:t>https://academic.oup.com</w:t>
        </w:r>
      </w:hyperlink>
    </w:p>
    <w:p w14:paraId="282E80D3" w14:textId="77777777" w:rsidR="008163D2" w:rsidRPr="008163D2" w:rsidRDefault="008163D2" w:rsidP="008163D2">
      <w:r w:rsidRPr="008163D2">
        <w:t xml:space="preserve">[7] </w:t>
      </w:r>
      <w:hyperlink r:id="rId30" w:history="1">
        <w:r w:rsidRPr="008163D2">
          <w:rPr>
            <w:rStyle w:val="Hyperlink"/>
          </w:rPr>
          <w:t>https://pmc.ncbi.nlm.nih.gov</w:t>
        </w:r>
      </w:hyperlink>
    </w:p>
    <w:p w14:paraId="1B10E46A" w14:textId="77777777" w:rsidR="008163D2" w:rsidRPr="008163D2" w:rsidRDefault="008163D2" w:rsidP="008163D2">
      <w:r w:rsidRPr="008163D2">
        <w:t xml:space="preserve">[8] </w:t>
      </w:r>
      <w:hyperlink r:id="rId31" w:history="1">
        <w:r w:rsidRPr="008163D2">
          <w:rPr>
            <w:rStyle w:val="Hyperlink"/>
          </w:rPr>
          <w:t>https://pmc.ncbi.nlm.nih.gov</w:t>
        </w:r>
      </w:hyperlink>
    </w:p>
    <w:p w14:paraId="72176E1A" w14:textId="77777777" w:rsidR="008163D2" w:rsidRPr="008163D2" w:rsidRDefault="008163D2" w:rsidP="008163D2">
      <w:r w:rsidRPr="008163D2">
        <w:t xml:space="preserve">[9] </w:t>
      </w:r>
      <w:hyperlink r:id="rId32" w:history="1">
        <w:r w:rsidRPr="008163D2">
          <w:rPr>
            <w:rStyle w:val="Hyperlink"/>
          </w:rPr>
          <w:t>https://www.researchgate.net</w:t>
        </w:r>
      </w:hyperlink>
    </w:p>
    <w:p w14:paraId="07E7D31C" w14:textId="77777777" w:rsidR="008163D2" w:rsidRPr="008163D2" w:rsidRDefault="008163D2" w:rsidP="008163D2">
      <w:r w:rsidRPr="008163D2">
        <w:t xml:space="preserve">[10] </w:t>
      </w:r>
      <w:hyperlink r:id="rId33" w:history="1">
        <w:r w:rsidRPr="008163D2">
          <w:rPr>
            <w:rStyle w:val="Hyperlink"/>
          </w:rPr>
          <w:t>https://arxiv.org</w:t>
        </w:r>
      </w:hyperlink>
    </w:p>
    <w:p w14:paraId="639A8FCB" w14:textId="77777777" w:rsidR="008163D2" w:rsidRPr="008163D2" w:rsidRDefault="008163D2" w:rsidP="008163D2">
      <w:r w:rsidRPr="008163D2">
        <w:t xml:space="preserve">[11] </w:t>
      </w:r>
      <w:hyperlink r:id="rId34" w:history="1">
        <w:r w:rsidRPr="008163D2">
          <w:rPr>
            <w:rStyle w:val="Hyperlink"/>
          </w:rPr>
          <w:t>https://pmc.ncbi.nlm.nih.gov</w:t>
        </w:r>
      </w:hyperlink>
    </w:p>
    <w:p w14:paraId="3B8B488C" w14:textId="77777777" w:rsidR="008163D2" w:rsidRPr="008163D2" w:rsidRDefault="008163D2" w:rsidP="008163D2">
      <w:r w:rsidRPr="008163D2">
        <w:lastRenderedPageBreak/>
        <w:t xml:space="preserve">[12] </w:t>
      </w:r>
      <w:hyperlink r:id="rId35" w:history="1">
        <w:r w:rsidRPr="008163D2">
          <w:rPr>
            <w:rStyle w:val="Hyperlink"/>
          </w:rPr>
          <w:t>https://pmc.ncbi.nlm.nih.gov</w:t>
        </w:r>
      </w:hyperlink>
    </w:p>
    <w:p w14:paraId="696AE89E" w14:textId="77777777" w:rsidR="008163D2" w:rsidRPr="008163D2" w:rsidRDefault="008163D2" w:rsidP="008163D2">
      <w:r w:rsidRPr="008163D2">
        <w:t xml:space="preserve">[13] </w:t>
      </w:r>
      <w:hyperlink r:id="rId36" w:history="1">
        <w:r w:rsidRPr="008163D2">
          <w:rPr>
            <w:rStyle w:val="Hyperlink"/>
          </w:rPr>
          <w:t>https://pmc.ncbi.nlm.nih.gov</w:t>
        </w:r>
      </w:hyperlink>
    </w:p>
    <w:p w14:paraId="456AD35C" w14:textId="77777777" w:rsidR="008163D2" w:rsidRPr="008163D2" w:rsidRDefault="008163D2" w:rsidP="008163D2">
      <w:r w:rsidRPr="008163D2">
        <w:t xml:space="preserve">[14] </w:t>
      </w:r>
      <w:hyperlink r:id="rId37" w:history="1">
        <w:r w:rsidRPr="008163D2">
          <w:rPr>
            <w:rStyle w:val="Hyperlink"/>
          </w:rPr>
          <w:t>https://www.researchgate.net</w:t>
        </w:r>
      </w:hyperlink>
    </w:p>
    <w:p w14:paraId="2E3B41B8" w14:textId="77777777" w:rsidR="008163D2" w:rsidRPr="008163D2" w:rsidRDefault="008163D2" w:rsidP="008163D2">
      <w:r w:rsidRPr="008163D2">
        <w:t xml:space="preserve">[15] </w:t>
      </w:r>
      <w:hyperlink r:id="rId38" w:history="1">
        <w:r w:rsidRPr="008163D2">
          <w:rPr>
            <w:rStyle w:val="Hyperlink"/>
          </w:rPr>
          <w:t>https://ieeexplore.ieee.org</w:t>
        </w:r>
      </w:hyperlink>
    </w:p>
    <w:p w14:paraId="32550CC2" w14:textId="77777777" w:rsidR="008163D2" w:rsidRPr="008163D2" w:rsidRDefault="008163D2" w:rsidP="008163D2">
      <w:r w:rsidRPr="008163D2">
        <w:t xml:space="preserve">[16] </w:t>
      </w:r>
      <w:hyperlink r:id="rId39" w:history="1">
        <w:r w:rsidRPr="008163D2">
          <w:rPr>
            <w:rStyle w:val="Hyperlink"/>
          </w:rPr>
          <w:t>https://www.kaggle.com</w:t>
        </w:r>
      </w:hyperlink>
    </w:p>
    <w:p w14:paraId="03D72AF3" w14:textId="77777777" w:rsidR="008163D2" w:rsidRPr="008163D2" w:rsidRDefault="008163D2" w:rsidP="008163D2">
      <w:r w:rsidRPr="008163D2">
        <w:t xml:space="preserve">[17] </w:t>
      </w:r>
      <w:hyperlink r:id="rId40" w:history="1">
        <w:r w:rsidRPr="008163D2">
          <w:rPr>
            <w:rStyle w:val="Hyperlink"/>
          </w:rPr>
          <w:t>https://pubmed.ncbi.nlm.nih.gov</w:t>
        </w:r>
      </w:hyperlink>
    </w:p>
    <w:p w14:paraId="70974FCA" w14:textId="77777777" w:rsidR="008163D2" w:rsidRPr="008163D2" w:rsidRDefault="008163D2" w:rsidP="008163D2">
      <w:r w:rsidRPr="008163D2">
        <w:t xml:space="preserve">[18] </w:t>
      </w:r>
      <w:hyperlink r:id="rId41" w:history="1">
        <w:r w:rsidRPr="008163D2">
          <w:rPr>
            <w:rStyle w:val="Hyperlink"/>
          </w:rPr>
          <w:t>https://pmc.ncbi.nlm.nih.gov</w:t>
        </w:r>
      </w:hyperlink>
    </w:p>
    <w:p w14:paraId="6B4A2130" w14:textId="77777777" w:rsidR="00D1220C" w:rsidRPr="00BD4752" w:rsidRDefault="00D1220C" w:rsidP="002B4F86"/>
    <w:sectPr w:rsidR="00D1220C" w:rsidRPr="00BD4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A7"/>
    <w:multiLevelType w:val="multilevel"/>
    <w:tmpl w:val="0D7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615E"/>
    <w:multiLevelType w:val="multilevel"/>
    <w:tmpl w:val="44B8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6E5"/>
    <w:multiLevelType w:val="multilevel"/>
    <w:tmpl w:val="BA8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E1DB4"/>
    <w:multiLevelType w:val="multilevel"/>
    <w:tmpl w:val="7996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373CA"/>
    <w:multiLevelType w:val="multilevel"/>
    <w:tmpl w:val="A54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95466"/>
    <w:multiLevelType w:val="multilevel"/>
    <w:tmpl w:val="493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5F44"/>
    <w:multiLevelType w:val="multilevel"/>
    <w:tmpl w:val="FACA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28B3"/>
    <w:multiLevelType w:val="multilevel"/>
    <w:tmpl w:val="05D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16DCD"/>
    <w:multiLevelType w:val="multilevel"/>
    <w:tmpl w:val="4E5E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0928CA"/>
    <w:multiLevelType w:val="multilevel"/>
    <w:tmpl w:val="23A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948455">
    <w:abstractNumId w:val="1"/>
  </w:num>
  <w:num w:numId="2" w16cid:durableId="136193036">
    <w:abstractNumId w:val="8"/>
  </w:num>
  <w:num w:numId="3" w16cid:durableId="1657300372">
    <w:abstractNumId w:val="7"/>
  </w:num>
  <w:num w:numId="4" w16cid:durableId="796491086">
    <w:abstractNumId w:val="4"/>
  </w:num>
  <w:num w:numId="5" w16cid:durableId="1111051002">
    <w:abstractNumId w:val="3"/>
  </w:num>
  <w:num w:numId="6" w16cid:durableId="2025552117">
    <w:abstractNumId w:val="2"/>
  </w:num>
  <w:num w:numId="7" w16cid:durableId="1969702675">
    <w:abstractNumId w:val="9"/>
  </w:num>
  <w:num w:numId="8" w16cid:durableId="1014769056">
    <w:abstractNumId w:val="5"/>
  </w:num>
  <w:num w:numId="9" w16cid:durableId="805121283">
    <w:abstractNumId w:val="6"/>
  </w:num>
  <w:num w:numId="10" w16cid:durableId="193134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2A"/>
    <w:rsid w:val="00174FCD"/>
    <w:rsid w:val="002B4F86"/>
    <w:rsid w:val="007356A0"/>
    <w:rsid w:val="007A77B4"/>
    <w:rsid w:val="008163D2"/>
    <w:rsid w:val="00B76B2A"/>
    <w:rsid w:val="00BD4752"/>
    <w:rsid w:val="00D1220C"/>
    <w:rsid w:val="00D15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B4DA"/>
  <w15:chartTrackingRefBased/>
  <w15:docId w15:val="{6EF6B3EB-25AA-4C79-8E71-89D78991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2A"/>
    <w:rPr>
      <w:rFonts w:eastAsiaTheme="majorEastAsia" w:cstheme="majorBidi"/>
      <w:color w:val="272727" w:themeColor="text1" w:themeTint="D8"/>
    </w:rPr>
  </w:style>
  <w:style w:type="paragraph" w:styleId="Title">
    <w:name w:val="Title"/>
    <w:basedOn w:val="Normal"/>
    <w:next w:val="Normal"/>
    <w:link w:val="TitleChar"/>
    <w:uiPriority w:val="10"/>
    <w:qFormat/>
    <w:rsid w:val="00B7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2A"/>
    <w:pPr>
      <w:spacing w:before="160"/>
      <w:jc w:val="center"/>
    </w:pPr>
    <w:rPr>
      <w:i/>
      <w:iCs/>
      <w:color w:val="404040" w:themeColor="text1" w:themeTint="BF"/>
    </w:rPr>
  </w:style>
  <w:style w:type="character" w:customStyle="1" w:styleId="QuoteChar">
    <w:name w:val="Quote Char"/>
    <w:basedOn w:val="DefaultParagraphFont"/>
    <w:link w:val="Quote"/>
    <w:uiPriority w:val="29"/>
    <w:rsid w:val="00B76B2A"/>
    <w:rPr>
      <w:i/>
      <w:iCs/>
      <w:color w:val="404040" w:themeColor="text1" w:themeTint="BF"/>
    </w:rPr>
  </w:style>
  <w:style w:type="paragraph" w:styleId="ListParagraph">
    <w:name w:val="List Paragraph"/>
    <w:basedOn w:val="Normal"/>
    <w:uiPriority w:val="34"/>
    <w:qFormat/>
    <w:rsid w:val="00B76B2A"/>
    <w:pPr>
      <w:ind w:left="720"/>
      <w:contextualSpacing/>
    </w:pPr>
  </w:style>
  <w:style w:type="character" w:styleId="IntenseEmphasis">
    <w:name w:val="Intense Emphasis"/>
    <w:basedOn w:val="DefaultParagraphFont"/>
    <w:uiPriority w:val="21"/>
    <w:qFormat/>
    <w:rsid w:val="00B76B2A"/>
    <w:rPr>
      <w:i/>
      <w:iCs/>
      <w:color w:val="0F4761" w:themeColor="accent1" w:themeShade="BF"/>
    </w:rPr>
  </w:style>
  <w:style w:type="paragraph" w:styleId="IntenseQuote">
    <w:name w:val="Intense Quote"/>
    <w:basedOn w:val="Normal"/>
    <w:next w:val="Normal"/>
    <w:link w:val="IntenseQuoteChar"/>
    <w:uiPriority w:val="30"/>
    <w:qFormat/>
    <w:rsid w:val="00B7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B2A"/>
    <w:rPr>
      <w:i/>
      <w:iCs/>
      <w:color w:val="0F4761" w:themeColor="accent1" w:themeShade="BF"/>
    </w:rPr>
  </w:style>
  <w:style w:type="character" w:styleId="IntenseReference">
    <w:name w:val="Intense Reference"/>
    <w:basedOn w:val="DefaultParagraphFont"/>
    <w:uiPriority w:val="32"/>
    <w:qFormat/>
    <w:rsid w:val="00B76B2A"/>
    <w:rPr>
      <w:b/>
      <w:bCs/>
      <w:smallCaps/>
      <w:color w:val="0F4761" w:themeColor="accent1" w:themeShade="BF"/>
      <w:spacing w:val="5"/>
    </w:rPr>
  </w:style>
  <w:style w:type="character" w:styleId="Hyperlink">
    <w:name w:val="Hyperlink"/>
    <w:basedOn w:val="DefaultParagraphFont"/>
    <w:uiPriority w:val="99"/>
    <w:unhideWhenUsed/>
    <w:rsid w:val="002B4F86"/>
    <w:rPr>
      <w:color w:val="467886" w:themeColor="hyperlink"/>
      <w:u w:val="single"/>
    </w:rPr>
  </w:style>
  <w:style w:type="character" w:styleId="UnresolvedMention">
    <w:name w:val="Unresolved Mention"/>
    <w:basedOn w:val="DefaultParagraphFont"/>
    <w:uiPriority w:val="99"/>
    <w:semiHidden/>
    <w:unhideWhenUsed/>
    <w:rsid w:val="002B4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673-9623/3/2/17" TargetMode="External"/><Relationship Id="rId18" Type="http://schemas.openxmlformats.org/officeDocument/2006/relationships/hyperlink" Target="https://pmc.ncbi.nlm.nih.gov/articles/PMC2697346/" TargetMode="External"/><Relationship Id="rId26" Type="http://schemas.openxmlformats.org/officeDocument/2006/relationships/hyperlink" Target="http://www2.imm.dtu.dk/projects/manifold/Papers/sparsepc.pdf" TargetMode="External"/><Relationship Id="rId39" Type="http://schemas.openxmlformats.org/officeDocument/2006/relationships/hyperlink" Target="https://www.kaggle.com/datasets/crawford/gene-expression/data" TargetMode="External"/><Relationship Id="rId21" Type="http://schemas.openxmlformats.org/officeDocument/2006/relationships/hyperlink" Target="https://pmc.ncbi.nlm.nih.gov/articles/PMC8636462/" TargetMode="External"/><Relationship Id="rId34" Type="http://schemas.openxmlformats.org/officeDocument/2006/relationships/hyperlink" Target="https://pmc.ncbi.nlm.nih.gov/articles/PMC4692276/" TargetMode="External"/><Relationship Id="rId42" Type="http://schemas.openxmlformats.org/officeDocument/2006/relationships/fontTable" Target="fontTable.xml"/><Relationship Id="rId7" Type="http://schemas.openxmlformats.org/officeDocument/2006/relationships/hyperlink" Target="https://fisher.stats.uwo.ca/faculty/aim/2014/old4850/microarrays/FitMArray/chm/Singh.html" TargetMode="External"/><Relationship Id="rId2" Type="http://schemas.openxmlformats.org/officeDocument/2006/relationships/styles" Target="styles.xml"/><Relationship Id="rId16" Type="http://schemas.openxmlformats.org/officeDocument/2006/relationships/hyperlink" Target="https://acspublisher.com/journals/index.php/jms/article/view/20184" TargetMode="External"/><Relationship Id="rId20" Type="http://schemas.openxmlformats.org/officeDocument/2006/relationships/hyperlink" Target="https://arxiv.org/pdf/2506.19247" TargetMode="External"/><Relationship Id="rId29" Type="http://schemas.openxmlformats.org/officeDocument/2006/relationships/hyperlink" Target="https://academic.oup.com/biostatistics/article-pdf/10/3/515/17735953/kxp008.pdf" TargetMode="External"/><Relationship Id="rId41" Type="http://schemas.openxmlformats.org/officeDocument/2006/relationships/hyperlink" Target="https://pmc.ncbi.nlm.nih.gov/articles/PMC2655631/" TargetMode="External"/><Relationship Id="rId1" Type="http://schemas.openxmlformats.org/officeDocument/2006/relationships/numbering" Target="numbering.xml"/><Relationship Id="rId6" Type="http://schemas.openxmlformats.org/officeDocument/2006/relationships/hyperlink" Target="https://aast.edu/pheed/staffadminview/pdf_retreive.php?url=5605_4_34_final%20paper.pdf&amp;stafftype=staffpdf" TargetMode="External"/><Relationship Id="rId11" Type="http://schemas.openxmlformats.org/officeDocument/2006/relationships/hyperlink" Target="https://www.openintro.org/data/index.php?data=golub" TargetMode="External"/><Relationship Id="rId24" Type="http://schemas.openxmlformats.org/officeDocument/2006/relationships/hyperlink" Target="https://www.kaggle.com/datasets/crawford/gene-expression/data" TargetMode="External"/><Relationship Id="rId32" Type="http://schemas.openxmlformats.org/officeDocument/2006/relationships/hyperlink" Target="https://www.researchgate.net/publication/392980642_Covariance_Supervised_Principal_Component_Analysis" TargetMode="External"/><Relationship Id="rId37" Type="http://schemas.openxmlformats.org/officeDocument/2006/relationships/hyperlink" Target="https://www.researchgate.net/publication/375778908_Leukemia_Classification_using_Principal_Component_Analysis_and_Ensemble_Learning_on_Gene_Expression_Data" TargetMode="External"/><Relationship Id="rId40" Type="http://schemas.openxmlformats.org/officeDocument/2006/relationships/hyperlink" Target="https://pubmed.ncbi.nlm.nih.gov/10521349/" TargetMode="External"/><Relationship Id="rId5" Type="http://schemas.openxmlformats.org/officeDocument/2006/relationships/hyperlink" Target="https://hastie.su.domains/CASI_files/DATA/leukemia.html" TargetMode="External"/><Relationship Id="rId15" Type="http://schemas.openxmlformats.org/officeDocument/2006/relationships/hyperlink" Target="https://www.mdpi.com/2304-8158/11/7/962" TargetMode="External"/><Relationship Id="rId23" Type="http://schemas.openxmlformats.org/officeDocument/2006/relationships/hyperlink" Target="https://pubmed.ncbi.nlm.nih.gov/10521349/" TargetMode="External"/><Relationship Id="rId28" Type="http://schemas.openxmlformats.org/officeDocument/2006/relationships/hyperlink" Target="https://pmc.ncbi.nlm.nih.gov/articles/PMC2697346/" TargetMode="External"/><Relationship Id="rId36" Type="http://schemas.openxmlformats.org/officeDocument/2006/relationships/hyperlink" Target="https://pmc.ncbi.nlm.nih.gov/articles/PMC8636462/" TargetMode="External"/><Relationship Id="rId10" Type="http://schemas.openxmlformats.org/officeDocument/2006/relationships/hyperlink" Target="https://pmc.ncbi.nlm.nih.gov/articles/PMC1184105/" TargetMode="External"/><Relationship Id="rId19" Type="http://schemas.openxmlformats.org/officeDocument/2006/relationships/hyperlink" Target="https://pmc.ncbi.nlm.nih.gov/articles/PMC1184105/" TargetMode="External"/><Relationship Id="rId31" Type="http://schemas.openxmlformats.org/officeDocument/2006/relationships/hyperlink" Target="https://pmc.ncbi.nlm.nih.gov/articles/PMC1184105/" TargetMode="External"/><Relationship Id="rId4" Type="http://schemas.openxmlformats.org/officeDocument/2006/relationships/webSettings" Target="webSettings.xml"/><Relationship Id="rId9" Type="http://schemas.openxmlformats.org/officeDocument/2006/relationships/hyperlink" Target="https://www.rdocumentation.org/packages/cancerclass/versions/1.16.0/topics/GOLUB" TargetMode="External"/><Relationship Id="rId14" Type="http://schemas.openxmlformats.org/officeDocument/2006/relationships/hyperlink" Target="https://pmc.ncbi.nlm.nih.gov/articles/PMC8997921/" TargetMode="External"/><Relationship Id="rId22" Type="http://schemas.openxmlformats.org/officeDocument/2006/relationships/hyperlink" Target="https://ieeexplore.ieee.org/document/10318521/" TargetMode="External"/><Relationship Id="rId27" Type="http://schemas.openxmlformats.org/officeDocument/2006/relationships/hyperlink" Target="https://academic.oup.com/bioinformatics/article/21/21/3970/226821" TargetMode="External"/><Relationship Id="rId30" Type="http://schemas.openxmlformats.org/officeDocument/2006/relationships/hyperlink" Target="https://pmc.ncbi.nlm.nih.gov/articles/PMC1184105/" TargetMode="External"/><Relationship Id="rId35" Type="http://schemas.openxmlformats.org/officeDocument/2006/relationships/hyperlink" Target="https://pmc.ncbi.nlm.nih.gov/articles/PMC8636462/" TargetMode="External"/><Relationship Id="rId43" Type="http://schemas.openxmlformats.org/officeDocument/2006/relationships/theme" Target="theme/theme1.xml"/><Relationship Id="rId8" Type="http://schemas.openxmlformats.org/officeDocument/2006/relationships/hyperlink" Target="https://leo.ugr.es/elvira/DBCRepository/ProstateCancer/ProstateCancer.html" TargetMode="External"/><Relationship Id="rId3" Type="http://schemas.openxmlformats.org/officeDocument/2006/relationships/settings" Target="settings.xml"/><Relationship Id="rId12" Type="http://schemas.openxmlformats.org/officeDocument/2006/relationships/hyperlink" Target="https://www.researchgate.net/publication/400333540_PORK_FAT_FATTY_ACID_PROFILING_WITH_RAMAN_SPECTROSCOPY_AND_PRINCIPAL_COMPONENT_ANALYSIS" TargetMode="External"/><Relationship Id="rId17" Type="http://schemas.openxmlformats.org/officeDocument/2006/relationships/hyperlink" Target="https://hastie.su.domains/Papers/spc_jcgs.pdf" TargetMode="External"/><Relationship Id="rId25" Type="http://schemas.openxmlformats.org/officeDocument/2006/relationships/hyperlink" Target="https://hastie.su.domains/Papers/spc_jcgs.pdf" TargetMode="External"/><Relationship Id="rId33" Type="http://schemas.openxmlformats.org/officeDocument/2006/relationships/hyperlink" Target="https://arxiv.org/pdf/2506.19247" TargetMode="External"/><Relationship Id="rId38" Type="http://schemas.openxmlformats.org/officeDocument/2006/relationships/hyperlink" Target="https://ieeexplore.ieee.org/document/10318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2913</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Giovanni Merola</dc:creator>
  <cp:keywords/>
  <dc:description/>
  <cp:lastModifiedBy>Dr. Giovanni Merola</cp:lastModifiedBy>
  <cp:revision>7</cp:revision>
  <dcterms:created xsi:type="dcterms:W3CDTF">2026-05-12T03:02:00Z</dcterms:created>
  <dcterms:modified xsi:type="dcterms:W3CDTF">2026-05-12T04:06:00Z</dcterms:modified>
</cp:coreProperties>
</file>