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C0F4A" w14:textId="77777777" w:rsidR="002D3616" w:rsidRDefault="003470FA">
      <w:pPr>
        <w:spacing w:line="480" w:lineRule="auto"/>
        <w:jc w:val="both"/>
        <w:rPr>
          <w:rFonts w:ascii="Times" w:eastAsia="Times" w:hAnsi="Times" w:cs="Times"/>
          <w:b/>
          <w:color w:val="000000"/>
          <w:highlight w:val="white"/>
        </w:rPr>
      </w:pPr>
      <w:bookmarkStart w:id="0" w:name="_heading=h.gjdgxs" w:colFirst="0" w:colLast="0"/>
      <w:bookmarkEnd w:id="0"/>
      <w:r>
        <w:rPr>
          <w:rFonts w:ascii="Times" w:eastAsia="Times" w:hAnsi="Times" w:cs="Times"/>
          <w:b/>
          <w:color w:val="000000"/>
          <w:sz w:val="28"/>
          <w:szCs w:val="28"/>
          <w:highlight w:val="white"/>
        </w:rPr>
        <w:t xml:space="preserve">The prognostic utility of soluble </w:t>
      </w:r>
      <w:proofErr w:type="spellStart"/>
      <w:r>
        <w:rPr>
          <w:rFonts w:ascii="Times" w:eastAsia="Times" w:hAnsi="Times" w:cs="Times"/>
          <w:b/>
          <w:color w:val="000000"/>
          <w:sz w:val="28"/>
          <w:szCs w:val="28"/>
          <w:highlight w:val="white"/>
        </w:rPr>
        <w:t>fms</w:t>
      </w:r>
      <w:proofErr w:type="spellEnd"/>
      <w:r>
        <w:rPr>
          <w:rFonts w:ascii="Times" w:eastAsia="Times" w:hAnsi="Times" w:cs="Times"/>
          <w:b/>
          <w:color w:val="000000"/>
          <w:sz w:val="28"/>
          <w:szCs w:val="28"/>
          <w:highlight w:val="white"/>
        </w:rPr>
        <w:t>-like tyrosine kinase-1 (sFlt-1) and placental growth factor (</w:t>
      </w:r>
      <w:proofErr w:type="spellStart"/>
      <w:r>
        <w:rPr>
          <w:rFonts w:ascii="Times" w:eastAsia="Times" w:hAnsi="Times" w:cs="Times"/>
          <w:b/>
          <w:color w:val="000000"/>
          <w:sz w:val="28"/>
          <w:szCs w:val="28"/>
          <w:highlight w:val="white"/>
        </w:rPr>
        <w:t>PlGF</w:t>
      </w:r>
      <w:proofErr w:type="spellEnd"/>
      <w:r>
        <w:rPr>
          <w:rFonts w:ascii="Times" w:eastAsia="Times" w:hAnsi="Times" w:cs="Times"/>
          <w:b/>
          <w:color w:val="000000"/>
          <w:sz w:val="28"/>
          <w:szCs w:val="28"/>
          <w:highlight w:val="white"/>
        </w:rPr>
        <w:t>) biomarkers for predicting preeclampsia: A secondary analysis of data from the INSPIRE trial</w:t>
      </w:r>
      <w:r>
        <w:rPr>
          <w:rFonts w:ascii="Times" w:eastAsia="Times" w:hAnsi="Times" w:cs="Times"/>
          <w:b/>
          <w:color w:val="000000"/>
          <w:highlight w:val="white"/>
        </w:rPr>
        <w:t xml:space="preserve"> </w:t>
      </w:r>
    </w:p>
    <w:p w14:paraId="32D35556" w14:textId="77777777" w:rsidR="002D3616" w:rsidRDefault="002D3616">
      <w:pPr>
        <w:spacing w:line="480" w:lineRule="auto"/>
        <w:jc w:val="both"/>
        <w:rPr>
          <w:rFonts w:ascii="Times" w:eastAsia="Times" w:hAnsi="Times" w:cs="Times"/>
          <w:b/>
          <w:color w:val="000000"/>
          <w:highlight w:val="white"/>
        </w:rPr>
      </w:pPr>
    </w:p>
    <w:p w14:paraId="707D9AB5" w14:textId="77777777" w:rsidR="002D3616" w:rsidRDefault="003470FA">
      <w:pPr>
        <w:spacing w:line="480" w:lineRule="auto"/>
        <w:jc w:val="both"/>
        <w:rPr>
          <w:rFonts w:ascii="Times" w:eastAsia="Times" w:hAnsi="Times" w:cs="Times"/>
          <w:color w:val="000000"/>
          <w:highlight w:val="white"/>
        </w:rPr>
      </w:pPr>
      <w:bookmarkStart w:id="1" w:name="_heading=h.30j0zll" w:colFirst="0" w:colLast="0"/>
      <w:bookmarkEnd w:id="1"/>
      <w:r>
        <w:rPr>
          <w:rFonts w:ascii="Times" w:eastAsia="Times" w:hAnsi="Times" w:cs="Times"/>
          <w:color w:val="000000"/>
          <w:highlight w:val="white"/>
        </w:rPr>
        <w:t xml:space="preserve">Meron M. </w:t>
      </w:r>
      <w:proofErr w:type="spellStart"/>
      <w:r>
        <w:rPr>
          <w:rFonts w:ascii="Times" w:eastAsia="Times" w:hAnsi="Times" w:cs="Times"/>
          <w:color w:val="000000"/>
          <w:highlight w:val="white"/>
        </w:rPr>
        <w:t>Kifle</w:t>
      </w:r>
      <w:proofErr w:type="spellEnd"/>
      <w:r>
        <w:rPr>
          <w:rFonts w:ascii="Times" w:eastAsia="Times" w:hAnsi="Times" w:cs="Times"/>
          <w:color w:val="000000"/>
          <w:highlight w:val="white"/>
        </w:rPr>
        <w:t xml:space="preserve"> </w:t>
      </w:r>
      <w:r>
        <w:rPr>
          <w:rFonts w:ascii="Times" w:eastAsia="Times" w:hAnsi="Times" w:cs="Times"/>
          <w:b/>
          <w:color w:val="000000"/>
          <w:highlight w:val="white"/>
          <w:vertAlign w:val="superscript"/>
        </w:rPr>
        <w:t>1</w:t>
      </w:r>
      <w:r>
        <w:rPr>
          <w:rFonts w:ascii="Times" w:eastAsia="Times" w:hAnsi="Times" w:cs="Times"/>
          <w:color w:val="000000"/>
          <w:highlight w:val="white"/>
        </w:rPr>
        <w:t xml:space="preserve">, </w:t>
      </w:r>
      <w:proofErr w:type="spellStart"/>
      <w:r>
        <w:rPr>
          <w:rFonts w:ascii="Times" w:eastAsia="Times" w:hAnsi="Times" w:cs="Times"/>
          <w:color w:val="000000"/>
          <w:highlight w:val="white"/>
        </w:rPr>
        <w:t>Prabin</w:t>
      </w:r>
      <w:proofErr w:type="spellEnd"/>
      <w:r>
        <w:rPr>
          <w:rFonts w:ascii="Times" w:eastAsia="Times" w:hAnsi="Times" w:cs="Times"/>
          <w:color w:val="000000"/>
          <w:highlight w:val="white"/>
        </w:rPr>
        <w:t xml:space="preserve"> </w:t>
      </w:r>
      <w:proofErr w:type="spellStart"/>
      <w:r>
        <w:rPr>
          <w:rFonts w:ascii="Times" w:eastAsia="Times" w:hAnsi="Times" w:cs="Times"/>
          <w:color w:val="000000"/>
          <w:highlight w:val="white"/>
        </w:rPr>
        <w:t>Dahal</w:t>
      </w:r>
      <w:proofErr w:type="spellEnd"/>
      <w:r>
        <w:rPr>
          <w:rFonts w:ascii="Times" w:eastAsia="Times" w:hAnsi="Times" w:cs="Times"/>
          <w:color w:val="000000"/>
          <w:highlight w:val="white"/>
        </w:rPr>
        <w:t xml:space="preserve"> </w:t>
      </w:r>
      <w:r>
        <w:rPr>
          <w:rFonts w:ascii="Times" w:eastAsia="Times" w:hAnsi="Times" w:cs="Times"/>
          <w:b/>
          <w:color w:val="000000"/>
          <w:highlight w:val="white"/>
          <w:vertAlign w:val="superscript"/>
        </w:rPr>
        <w:t>1</w:t>
      </w:r>
      <w:r>
        <w:rPr>
          <w:rFonts w:ascii="Times" w:eastAsia="Times" w:hAnsi="Times" w:cs="Times"/>
          <w:color w:val="000000"/>
          <w:highlight w:val="white"/>
        </w:rPr>
        <w:t xml:space="preserve">, Manu </w:t>
      </w:r>
      <w:proofErr w:type="spellStart"/>
      <w:r>
        <w:rPr>
          <w:rFonts w:ascii="Times" w:eastAsia="Times" w:hAnsi="Times" w:cs="Times"/>
          <w:color w:val="000000"/>
          <w:highlight w:val="white"/>
        </w:rPr>
        <w:t>Vatish</w:t>
      </w:r>
      <w:proofErr w:type="spellEnd"/>
      <w:r>
        <w:rPr>
          <w:rFonts w:ascii="Times" w:eastAsia="Times" w:hAnsi="Times" w:cs="Times"/>
          <w:color w:val="000000"/>
          <w:highlight w:val="white"/>
        </w:rPr>
        <w:t xml:space="preserve"> </w:t>
      </w:r>
      <w:r>
        <w:rPr>
          <w:rFonts w:ascii="Times" w:eastAsia="Times" w:hAnsi="Times" w:cs="Times"/>
          <w:color w:val="000000"/>
          <w:highlight w:val="white"/>
          <w:vertAlign w:val="superscript"/>
        </w:rPr>
        <w:t>2</w:t>
      </w:r>
      <w:r>
        <w:rPr>
          <w:rFonts w:ascii="Times" w:eastAsia="Times" w:hAnsi="Times" w:cs="Times"/>
          <w:color w:val="000000"/>
          <w:highlight w:val="white"/>
        </w:rPr>
        <w:t xml:space="preserve">, Ana Sofia </w:t>
      </w:r>
      <w:proofErr w:type="spellStart"/>
      <w:r>
        <w:rPr>
          <w:rFonts w:ascii="Times" w:eastAsia="Times" w:hAnsi="Times" w:cs="Times"/>
          <w:color w:val="000000"/>
          <w:highlight w:val="white"/>
        </w:rPr>
        <w:t>Cerdeira</w:t>
      </w:r>
      <w:proofErr w:type="spellEnd"/>
      <w:r>
        <w:rPr>
          <w:rFonts w:ascii="Times" w:eastAsia="Times" w:hAnsi="Times" w:cs="Times"/>
          <w:color w:val="000000"/>
          <w:highlight w:val="white"/>
        </w:rPr>
        <w:t xml:space="preserve"> </w:t>
      </w:r>
      <w:r>
        <w:rPr>
          <w:rFonts w:ascii="Times" w:eastAsia="Times" w:hAnsi="Times" w:cs="Times"/>
          <w:color w:val="000000"/>
          <w:highlight w:val="white"/>
          <w:vertAlign w:val="superscript"/>
        </w:rPr>
        <w:t>2</w:t>
      </w:r>
      <w:r>
        <w:rPr>
          <w:rFonts w:ascii="Times" w:eastAsia="Times" w:hAnsi="Times" w:cs="Times"/>
          <w:color w:val="000000"/>
          <w:highlight w:val="white"/>
        </w:rPr>
        <w:t xml:space="preserve">, Eric O. </w:t>
      </w:r>
      <w:proofErr w:type="spellStart"/>
      <w:r>
        <w:rPr>
          <w:rFonts w:ascii="Times" w:eastAsia="Times" w:hAnsi="Times" w:cs="Times"/>
          <w:color w:val="000000"/>
          <w:highlight w:val="white"/>
        </w:rPr>
        <w:t>Ohuma</w:t>
      </w:r>
      <w:proofErr w:type="spellEnd"/>
      <w:r>
        <w:rPr>
          <w:rFonts w:ascii="Times" w:eastAsia="Times" w:hAnsi="Times" w:cs="Times"/>
          <w:color w:val="000000"/>
          <w:highlight w:val="white"/>
        </w:rPr>
        <w:t xml:space="preserve"> </w:t>
      </w:r>
      <w:r>
        <w:rPr>
          <w:rFonts w:ascii="Times" w:eastAsia="Times" w:hAnsi="Times" w:cs="Times"/>
          <w:b/>
          <w:color w:val="000000"/>
          <w:highlight w:val="white"/>
          <w:vertAlign w:val="superscript"/>
        </w:rPr>
        <w:t>1, 3*</w:t>
      </w:r>
      <w:r>
        <w:rPr>
          <w:rFonts w:ascii="Times" w:eastAsia="Times" w:hAnsi="Times" w:cs="Times"/>
          <w:color w:val="000000"/>
          <w:highlight w:val="white"/>
        </w:rPr>
        <w:t xml:space="preserve"> </w:t>
      </w:r>
    </w:p>
    <w:p w14:paraId="1DA5031F" w14:textId="77777777" w:rsidR="002D3616" w:rsidRDefault="002D3616">
      <w:pPr>
        <w:spacing w:line="480" w:lineRule="auto"/>
        <w:jc w:val="both"/>
        <w:rPr>
          <w:rFonts w:ascii="Times" w:eastAsia="Times" w:hAnsi="Times" w:cs="Times"/>
          <w:b/>
          <w:color w:val="000000"/>
          <w:highlight w:val="white"/>
        </w:rPr>
      </w:pPr>
    </w:p>
    <w:p w14:paraId="5E758F5B" w14:textId="77777777" w:rsidR="002D3616" w:rsidRDefault="003470FA">
      <w:pPr>
        <w:spacing w:line="480" w:lineRule="auto"/>
        <w:jc w:val="both"/>
        <w:rPr>
          <w:rFonts w:ascii="Times" w:eastAsia="Times" w:hAnsi="Times" w:cs="Times"/>
          <w:color w:val="000000"/>
          <w:highlight w:val="white"/>
        </w:rPr>
      </w:pPr>
      <w:bookmarkStart w:id="2" w:name="_heading=h.1fob9te" w:colFirst="0" w:colLast="0"/>
      <w:bookmarkEnd w:id="2"/>
      <w:r>
        <w:rPr>
          <w:rFonts w:ascii="Times" w:eastAsia="Times" w:hAnsi="Times" w:cs="Times"/>
          <w:color w:val="000000"/>
          <w:highlight w:val="white"/>
          <w:vertAlign w:val="superscript"/>
        </w:rPr>
        <w:t xml:space="preserve">1 </w:t>
      </w:r>
      <w:r>
        <w:rPr>
          <w:rFonts w:ascii="Times" w:eastAsia="Times" w:hAnsi="Times" w:cs="Times"/>
          <w:color w:val="000000"/>
          <w:highlight w:val="white"/>
        </w:rPr>
        <w:t>Centre for Tropical Medicine and Global Health, Nuffield Department of Clinical Medicine, University of Oxford, Oxford, UK.</w:t>
      </w:r>
      <w:r>
        <w:rPr>
          <w:rFonts w:ascii="Times" w:eastAsia="Times" w:hAnsi="Times" w:cs="Times"/>
          <w:color w:val="000000"/>
        </w:rPr>
        <w:t xml:space="preserve"> </w:t>
      </w:r>
    </w:p>
    <w:p w14:paraId="5F0980C1" w14:textId="77777777" w:rsidR="002D3616" w:rsidRDefault="003470FA">
      <w:pPr>
        <w:spacing w:line="480" w:lineRule="auto"/>
        <w:jc w:val="both"/>
        <w:rPr>
          <w:rFonts w:ascii="Times" w:eastAsia="Times" w:hAnsi="Times" w:cs="Times"/>
          <w:color w:val="000000"/>
          <w:highlight w:val="white"/>
        </w:rPr>
      </w:pPr>
      <w:r>
        <w:rPr>
          <w:rFonts w:ascii="Times" w:eastAsia="Times" w:hAnsi="Times" w:cs="Times"/>
          <w:color w:val="000000"/>
          <w:highlight w:val="white"/>
          <w:vertAlign w:val="superscript"/>
        </w:rPr>
        <w:t xml:space="preserve">2 </w:t>
      </w:r>
      <w:r>
        <w:rPr>
          <w:rFonts w:ascii="Times" w:eastAsia="Times" w:hAnsi="Times" w:cs="Times"/>
          <w:color w:val="000000"/>
          <w:highlight w:val="white"/>
        </w:rPr>
        <w:t>Nuffield Department of Women's and Reproductive Health, University of Oxford, Oxford, UK</w:t>
      </w:r>
    </w:p>
    <w:p w14:paraId="0A9D5F22" w14:textId="77777777" w:rsidR="002D3616" w:rsidRDefault="003470FA">
      <w:pPr>
        <w:spacing w:line="480" w:lineRule="auto"/>
        <w:jc w:val="both"/>
        <w:rPr>
          <w:rFonts w:ascii="Times" w:eastAsia="Times" w:hAnsi="Times" w:cs="Times"/>
          <w:color w:val="000000"/>
          <w:highlight w:val="white"/>
        </w:rPr>
      </w:pPr>
      <w:r>
        <w:rPr>
          <w:rFonts w:ascii="Times" w:eastAsia="Times" w:hAnsi="Times" w:cs="Times"/>
          <w:color w:val="000000"/>
          <w:highlight w:val="white"/>
          <w:vertAlign w:val="superscript"/>
        </w:rPr>
        <w:t xml:space="preserve">3 </w:t>
      </w:r>
      <w:r>
        <w:rPr>
          <w:rFonts w:ascii="Times" w:eastAsia="Times" w:hAnsi="Times" w:cs="Times"/>
          <w:color w:val="000000"/>
          <w:highlight w:val="white"/>
        </w:rPr>
        <w:t xml:space="preserve">Maternal, Adolescent, Reproductive &amp; Child Health (MARCH) Centre, London School of Hygiene &amp;Tropical Medicine (LSHTM), London, UK </w:t>
      </w:r>
    </w:p>
    <w:p w14:paraId="525747DC" w14:textId="77777777" w:rsidR="002D3616" w:rsidRDefault="002D3616">
      <w:pPr>
        <w:spacing w:line="480" w:lineRule="auto"/>
        <w:jc w:val="both"/>
        <w:rPr>
          <w:rFonts w:ascii="Times" w:eastAsia="Times" w:hAnsi="Times" w:cs="Times"/>
          <w:color w:val="000000"/>
          <w:highlight w:val="white"/>
          <w:vertAlign w:val="superscript"/>
        </w:rPr>
      </w:pPr>
    </w:p>
    <w:p w14:paraId="796C98B6" w14:textId="77777777" w:rsidR="002D3616" w:rsidRDefault="002D3616">
      <w:pPr>
        <w:spacing w:line="480" w:lineRule="auto"/>
        <w:jc w:val="both"/>
        <w:rPr>
          <w:rFonts w:ascii="Times" w:eastAsia="Times" w:hAnsi="Times" w:cs="Times"/>
          <w:color w:val="000000"/>
        </w:rPr>
      </w:pPr>
    </w:p>
    <w:p w14:paraId="562B7D7F"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*Correspondence:</w:t>
      </w:r>
    </w:p>
    <w:p w14:paraId="5D7A42E2" w14:textId="77777777" w:rsidR="002D3616" w:rsidRDefault="003470FA">
      <w:pPr>
        <w:spacing w:line="480" w:lineRule="auto"/>
        <w:jc w:val="both"/>
        <w:rPr>
          <w:rFonts w:ascii="Times" w:eastAsia="Times" w:hAnsi="Times" w:cs="Times"/>
          <w:color w:val="000000"/>
          <w:highlight w:val="white"/>
        </w:rPr>
      </w:pPr>
      <w:r>
        <w:rPr>
          <w:rFonts w:ascii="Times" w:eastAsia="Times" w:hAnsi="Times" w:cs="Times"/>
          <w:color w:val="000000"/>
          <w:highlight w:val="white"/>
        </w:rPr>
        <w:t xml:space="preserve">Dr Eric O. </w:t>
      </w:r>
      <w:proofErr w:type="spellStart"/>
      <w:r>
        <w:rPr>
          <w:rFonts w:ascii="Times" w:eastAsia="Times" w:hAnsi="Times" w:cs="Times"/>
          <w:color w:val="000000"/>
          <w:highlight w:val="white"/>
        </w:rPr>
        <w:t>Ohuma</w:t>
      </w:r>
      <w:proofErr w:type="spellEnd"/>
    </w:p>
    <w:p w14:paraId="3664B876" w14:textId="77777777" w:rsidR="002D3616" w:rsidRDefault="003470FA">
      <w:pPr>
        <w:spacing w:line="480" w:lineRule="auto"/>
        <w:jc w:val="both"/>
        <w:rPr>
          <w:rFonts w:ascii="Times" w:eastAsia="Times" w:hAnsi="Times" w:cs="Times"/>
          <w:color w:val="000000"/>
          <w:highlight w:val="white"/>
        </w:rPr>
      </w:pPr>
      <w:r>
        <w:rPr>
          <w:rFonts w:ascii="Times" w:eastAsia="Times" w:hAnsi="Times" w:cs="Times"/>
          <w:color w:val="000000"/>
          <w:highlight w:val="white"/>
        </w:rPr>
        <w:t xml:space="preserve">Maternal, Adolescent, Reproductive and Child Health (MARCH) Centre, </w:t>
      </w:r>
    </w:p>
    <w:p w14:paraId="510550F8" w14:textId="77777777" w:rsidR="002D3616" w:rsidRDefault="003470FA">
      <w:pPr>
        <w:spacing w:line="480" w:lineRule="auto"/>
        <w:jc w:val="both"/>
        <w:rPr>
          <w:rFonts w:ascii="Times" w:eastAsia="Times" w:hAnsi="Times" w:cs="Times"/>
          <w:color w:val="000000"/>
          <w:highlight w:val="white"/>
        </w:rPr>
      </w:pPr>
      <w:r>
        <w:rPr>
          <w:rFonts w:ascii="Times" w:eastAsia="Times" w:hAnsi="Times" w:cs="Times"/>
          <w:color w:val="000000"/>
          <w:highlight w:val="white"/>
        </w:rPr>
        <w:t xml:space="preserve">London School of Hygiene and Tropical Medicine (LSHTM), </w:t>
      </w:r>
    </w:p>
    <w:p w14:paraId="54002C95" w14:textId="77777777" w:rsidR="002D3616" w:rsidRDefault="003470FA">
      <w:pPr>
        <w:spacing w:line="480" w:lineRule="auto"/>
        <w:jc w:val="both"/>
        <w:rPr>
          <w:rFonts w:ascii="Times" w:eastAsia="Times" w:hAnsi="Times" w:cs="Times"/>
          <w:color w:val="000000"/>
          <w:highlight w:val="white"/>
        </w:rPr>
      </w:pPr>
      <w:bookmarkStart w:id="3" w:name="_heading=h.3znysh7" w:colFirst="0" w:colLast="0"/>
      <w:bookmarkEnd w:id="3"/>
      <w:r>
        <w:rPr>
          <w:rFonts w:ascii="Times" w:eastAsia="Times" w:hAnsi="Times" w:cs="Times"/>
          <w:color w:val="000000"/>
          <w:highlight w:val="white"/>
        </w:rPr>
        <w:t>London, UK.</w:t>
      </w:r>
    </w:p>
    <w:p w14:paraId="25BB3EF3" w14:textId="77777777" w:rsidR="002D3616" w:rsidRDefault="003470FA">
      <w:pPr>
        <w:spacing w:line="480" w:lineRule="auto"/>
        <w:jc w:val="both"/>
        <w:rPr>
          <w:rFonts w:ascii="Times" w:eastAsia="Times" w:hAnsi="Times" w:cs="Times"/>
          <w:color w:val="000000"/>
          <w:highlight w:val="white"/>
        </w:rPr>
      </w:pPr>
      <w:r>
        <w:rPr>
          <w:rFonts w:ascii="Times" w:eastAsia="Times" w:hAnsi="Times" w:cs="Times"/>
          <w:color w:val="000000"/>
          <w:highlight w:val="white"/>
        </w:rPr>
        <w:t>Telephone number: +447403379056</w:t>
      </w:r>
    </w:p>
    <w:p w14:paraId="1B6ABC8F" w14:textId="7A0D7B5F" w:rsidR="002D3616" w:rsidRDefault="003470FA">
      <w:pPr>
        <w:spacing w:line="480" w:lineRule="auto"/>
        <w:jc w:val="both"/>
        <w:rPr>
          <w:rFonts w:ascii="Times" w:eastAsia="Times" w:hAnsi="Times" w:cs="Times"/>
          <w:color w:val="000000"/>
          <w:highlight w:val="white"/>
        </w:rPr>
      </w:pPr>
      <w:r>
        <w:rPr>
          <w:rFonts w:ascii="Times" w:eastAsia="Times" w:hAnsi="Times" w:cs="Times"/>
          <w:color w:val="000000"/>
          <w:highlight w:val="white"/>
        </w:rPr>
        <w:t xml:space="preserve">Email address: </w:t>
      </w:r>
      <w:hyperlink r:id="rId9" w:history="1">
        <w:r w:rsidR="00C001D5" w:rsidRPr="00F261F6">
          <w:rPr>
            <w:rStyle w:val="Hyperlink"/>
            <w:rFonts w:ascii="Times" w:eastAsia="Times" w:hAnsi="Times" w:cs="Times"/>
            <w:highlight w:val="white"/>
          </w:rPr>
          <w:t>Eric.Ohuma@lshtm.ac.uk</w:t>
        </w:r>
      </w:hyperlink>
      <w:r w:rsidR="00C001D5">
        <w:rPr>
          <w:rFonts w:ascii="Times" w:eastAsia="Times" w:hAnsi="Times" w:cs="Times"/>
          <w:color w:val="000000"/>
          <w:highlight w:val="white"/>
          <w:u w:val="single"/>
        </w:rPr>
        <w:t xml:space="preserve"> </w:t>
      </w:r>
      <w:r>
        <w:rPr>
          <w:rFonts w:ascii="Times" w:eastAsia="Times" w:hAnsi="Times" w:cs="Times"/>
          <w:color w:val="000000"/>
          <w:highlight w:val="white"/>
        </w:rPr>
        <w:t xml:space="preserve"> </w:t>
      </w:r>
    </w:p>
    <w:p w14:paraId="68D069FA" w14:textId="77777777" w:rsidR="002D3616" w:rsidRDefault="002D3616">
      <w:pPr>
        <w:spacing w:line="480" w:lineRule="auto"/>
        <w:jc w:val="both"/>
        <w:rPr>
          <w:rFonts w:ascii="Times" w:eastAsia="Times" w:hAnsi="Times" w:cs="Times"/>
          <w:color w:val="000000"/>
          <w:highlight w:val="white"/>
        </w:rPr>
      </w:pPr>
    </w:p>
    <w:p w14:paraId="1E7E8639" w14:textId="77777777" w:rsidR="002D3616" w:rsidRDefault="003470FA">
      <w:pPr>
        <w:spacing w:line="480" w:lineRule="auto"/>
        <w:jc w:val="both"/>
        <w:rPr>
          <w:rFonts w:ascii="Times" w:eastAsia="Times" w:hAnsi="Times" w:cs="Times"/>
          <w:color w:val="000000"/>
          <w:highlight w:val="white"/>
        </w:rPr>
      </w:pPr>
      <w:r>
        <w:rPr>
          <w:rFonts w:ascii="Times" w:eastAsia="Times" w:hAnsi="Times" w:cs="Times"/>
          <w:b/>
          <w:color w:val="000000"/>
          <w:highlight w:val="white"/>
        </w:rPr>
        <w:t>Running title</w:t>
      </w:r>
      <w:r>
        <w:rPr>
          <w:rFonts w:ascii="Times" w:eastAsia="Times" w:hAnsi="Times" w:cs="Times"/>
          <w:color w:val="000000"/>
          <w:highlight w:val="white"/>
        </w:rPr>
        <w:t xml:space="preserve">: Prognostic utility of biomarkers for Preeclampsia </w:t>
      </w:r>
      <w:r>
        <w:br w:type="page"/>
      </w:r>
    </w:p>
    <w:p w14:paraId="76EFE97B" w14:textId="77777777" w:rsidR="002D3616" w:rsidRDefault="003470FA">
      <w:pPr>
        <w:pBdr>
          <w:top w:val="nil"/>
          <w:left w:val="nil"/>
          <w:bottom w:val="nil"/>
          <w:right w:val="nil"/>
          <w:between w:val="nil"/>
        </w:pBdr>
        <w:shd w:val="clear" w:color="auto" w:fill="FFFFFF"/>
        <w:spacing w:line="480" w:lineRule="auto"/>
        <w:jc w:val="both"/>
        <w:rPr>
          <w:rFonts w:ascii="Times" w:eastAsia="Times" w:hAnsi="Times" w:cs="Times"/>
          <w:b/>
          <w:color w:val="000000"/>
        </w:rPr>
      </w:pPr>
      <w:r>
        <w:rPr>
          <w:rFonts w:ascii="Times" w:eastAsia="Times" w:hAnsi="Times" w:cs="Times"/>
          <w:b/>
          <w:color w:val="000000"/>
        </w:rPr>
        <w:lastRenderedPageBreak/>
        <w:t xml:space="preserve">Abstract </w:t>
      </w:r>
    </w:p>
    <w:p w14:paraId="6CDD1D66" w14:textId="77777777" w:rsidR="002D3616" w:rsidRDefault="003470FA">
      <w:pPr>
        <w:spacing w:line="480" w:lineRule="auto"/>
        <w:jc w:val="both"/>
        <w:rPr>
          <w:rFonts w:ascii="Times" w:eastAsia="Times" w:hAnsi="Times" w:cs="Times"/>
          <w:color w:val="000000"/>
        </w:rPr>
      </w:pPr>
      <w:r>
        <w:rPr>
          <w:rFonts w:ascii="Times" w:eastAsia="Times" w:hAnsi="Times" w:cs="Times"/>
          <w:b/>
          <w:color w:val="000000"/>
        </w:rPr>
        <w:t>Objective:</w:t>
      </w:r>
      <w:r>
        <w:rPr>
          <w:rFonts w:ascii="Times" w:eastAsia="Times" w:hAnsi="Times" w:cs="Times"/>
          <w:color w:val="000000"/>
        </w:rPr>
        <w:t xml:space="preserve"> </w:t>
      </w:r>
      <w:r>
        <w:rPr>
          <w:rFonts w:ascii="Times" w:eastAsia="Times" w:hAnsi="Times" w:cs="Times"/>
          <w:color w:val="000000"/>
          <w:highlight w:val="white"/>
        </w:rPr>
        <w:t>T</w:t>
      </w:r>
      <w:r>
        <w:rPr>
          <w:rFonts w:ascii="Times" w:eastAsia="Times" w:hAnsi="Times" w:cs="Times"/>
          <w:color w:val="000000"/>
        </w:rPr>
        <w:t xml:space="preserve">o compare the prognostic performance of biomarkers soluble </w:t>
      </w:r>
      <w:proofErr w:type="spellStart"/>
      <w:r>
        <w:rPr>
          <w:rFonts w:ascii="Times" w:eastAsia="Times" w:hAnsi="Times" w:cs="Times"/>
          <w:color w:val="000000"/>
        </w:rPr>
        <w:t>fms</w:t>
      </w:r>
      <w:proofErr w:type="spellEnd"/>
      <w:r>
        <w:rPr>
          <w:rFonts w:ascii="Times" w:eastAsia="Times" w:hAnsi="Times" w:cs="Times"/>
          <w:color w:val="000000"/>
        </w:rPr>
        <w:t xml:space="preserve">-like tyrosine kinase-1 (sFlt-1), Placental Growth Factor (PIGF), and sFlt-1/PIGF ratio as continuous values or as a binary cut-off of 38 for predicting </w:t>
      </w:r>
      <w:r>
        <w:rPr>
          <w:rFonts w:ascii="Times" w:eastAsia="Times" w:hAnsi="Times" w:cs="Times"/>
          <w:color w:val="000000"/>
          <w:highlight w:val="white"/>
        </w:rPr>
        <w:t>preeclampsia (</w:t>
      </w:r>
      <w:r>
        <w:rPr>
          <w:rFonts w:ascii="Times" w:eastAsia="Times" w:hAnsi="Times" w:cs="Times"/>
          <w:color w:val="000000"/>
        </w:rPr>
        <w:t xml:space="preserve">PE) within 7 days. </w:t>
      </w:r>
    </w:p>
    <w:p w14:paraId="79BDCCDC" w14:textId="77777777" w:rsidR="002D3616" w:rsidRDefault="003470FA">
      <w:pPr>
        <w:spacing w:line="480" w:lineRule="auto"/>
        <w:jc w:val="both"/>
        <w:rPr>
          <w:rFonts w:ascii="Times" w:eastAsia="Times" w:hAnsi="Times" w:cs="Times"/>
          <w:color w:val="000000"/>
        </w:rPr>
      </w:pPr>
      <w:r>
        <w:rPr>
          <w:rFonts w:ascii="Times" w:eastAsia="Times" w:hAnsi="Times" w:cs="Times"/>
          <w:b/>
          <w:color w:val="000000"/>
        </w:rPr>
        <w:t>Design</w:t>
      </w:r>
      <w:r>
        <w:rPr>
          <w:rFonts w:ascii="Times" w:eastAsia="Times" w:hAnsi="Times" w:cs="Times"/>
          <w:color w:val="000000"/>
        </w:rPr>
        <w:t>: Secondary analysis of a randomised clinical trial.</w:t>
      </w:r>
    </w:p>
    <w:p w14:paraId="0169090A" w14:textId="77777777" w:rsidR="002D3616" w:rsidRDefault="003470FA">
      <w:pPr>
        <w:spacing w:line="480" w:lineRule="auto"/>
        <w:jc w:val="both"/>
        <w:rPr>
          <w:rFonts w:ascii="Times" w:eastAsia="Times" w:hAnsi="Times" w:cs="Times"/>
          <w:color w:val="000000"/>
        </w:rPr>
      </w:pPr>
      <w:r>
        <w:rPr>
          <w:rFonts w:ascii="Times" w:eastAsia="Times" w:hAnsi="Times" w:cs="Times"/>
          <w:b/>
          <w:color w:val="000000"/>
        </w:rPr>
        <w:t>Setting</w:t>
      </w:r>
      <w:r>
        <w:rPr>
          <w:rFonts w:ascii="Times" w:eastAsia="Times" w:hAnsi="Times" w:cs="Times"/>
          <w:color w:val="000000"/>
        </w:rPr>
        <w:t>: Oxford University Hospitals, Oxford, United Kingdom (UK).</w:t>
      </w:r>
    </w:p>
    <w:p w14:paraId="358C7483" w14:textId="77777777" w:rsidR="002D3616" w:rsidRDefault="003470FA">
      <w:pPr>
        <w:spacing w:line="480" w:lineRule="auto"/>
        <w:jc w:val="both"/>
        <w:rPr>
          <w:rFonts w:ascii="Times" w:eastAsia="Times" w:hAnsi="Times" w:cs="Times"/>
          <w:color w:val="000000"/>
        </w:rPr>
      </w:pPr>
      <w:r>
        <w:rPr>
          <w:rFonts w:ascii="Times" w:eastAsia="Times" w:hAnsi="Times" w:cs="Times"/>
          <w:b/>
          <w:color w:val="000000"/>
        </w:rPr>
        <w:t>Population</w:t>
      </w:r>
      <w:r>
        <w:rPr>
          <w:rFonts w:ascii="Times" w:eastAsia="Times" w:hAnsi="Times" w:cs="Times"/>
          <w:color w:val="000000"/>
        </w:rPr>
        <w:t>: Pregnant women between 24</w:t>
      </w:r>
      <w:r>
        <w:rPr>
          <w:rFonts w:ascii="Times" w:eastAsia="Times" w:hAnsi="Times" w:cs="Times"/>
          <w:color w:val="000000"/>
          <w:vertAlign w:val="superscript"/>
        </w:rPr>
        <w:t>+0</w:t>
      </w:r>
      <w:r>
        <w:rPr>
          <w:rFonts w:ascii="Times" w:eastAsia="Times" w:hAnsi="Times" w:cs="Times"/>
          <w:color w:val="000000"/>
        </w:rPr>
        <w:t xml:space="preserve"> to 37</w:t>
      </w:r>
      <w:r>
        <w:rPr>
          <w:rFonts w:ascii="Times" w:eastAsia="Times" w:hAnsi="Times" w:cs="Times"/>
          <w:color w:val="000000"/>
          <w:vertAlign w:val="superscript"/>
        </w:rPr>
        <w:t>+0</w:t>
      </w:r>
      <w:r>
        <w:rPr>
          <w:rFonts w:ascii="Times" w:eastAsia="Times" w:hAnsi="Times" w:cs="Times"/>
          <w:color w:val="000000"/>
        </w:rPr>
        <w:t xml:space="preserve"> weeks of gestation with a clinical suspicion of </w:t>
      </w:r>
      <w:r>
        <w:rPr>
          <w:rFonts w:ascii="Times" w:eastAsia="Times" w:hAnsi="Times" w:cs="Times"/>
          <w:color w:val="000000"/>
          <w:highlight w:val="white"/>
        </w:rPr>
        <w:t>preeclampsia</w:t>
      </w:r>
      <w:r>
        <w:rPr>
          <w:rFonts w:ascii="Times" w:eastAsia="Times" w:hAnsi="Times" w:cs="Times"/>
          <w:color w:val="000000"/>
        </w:rPr>
        <w:t xml:space="preserve">.  </w:t>
      </w:r>
    </w:p>
    <w:p w14:paraId="685EA20D" w14:textId="77777777" w:rsidR="002D3616" w:rsidRDefault="003470FA">
      <w:pPr>
        <w:spacing w:line="480" w:lineRule="auto"/>
        <w:jc w:val="both"/>
        <w:rPr>
          <w:rFonts w:ascii="Times" w:eastAsia="Times" w:hAnsi="Times" w:cs="Times"/>
          <w:color w:val="000000"/>
        </w:rPr>
      </w:pPr>
      <w:r>
        <w:rPr>
          <w:rFonts w:ascii="Times" w:eastAsia="Times" w:hAnsi="Times" w:cs="Times"/>
          <w:b/>
          <w:color w:val="000000"/>
        </w:rPr>
        <w:t>Main outcome</w:t>
      </w:r>
      <w:r>
        <w:rPr>
          <w:rFonts w:ascii="Times" w:eastAsia="Times" w:hAnsi="Times" w:cs="Times"/>
          <w:color w:val="000000"/>
        </w:rPr>
        <w:t xml:space="preserve">: Onset of </w:t>
      </w:r>
      <w:r>
        <w:rPr>
          <w:rFonts w:ascii="Times" w:eastAsia="Times" w:hAnsi="Times" w:cs="Times"/>
          <w:color w:val="000000"/>
          <w:highlight w:val="white"/>
        </w:rPr>
        <w:t xml:space="preserve">preeclampsia </w:t>
      </w:r>
      <w:r>
        <w:rPr>
          <w:rFonts w:ascii="Times" w:eastAsia="Times" w:hAnsi="Times" w:cs="Times"/>
          <w:color w:val="000000"/>
        </w:rPr>
        <w:t>within seven days of the initial biomarker test.</w:t>
      </w:r>
    </w:p>
    <w:p w14:paraId="117BB793" w14:textId="77777777" w:rsidR="002D3616" w:rsidRDefault="003470FA">
      <w:pPr>
        <w:spacing w:line="480" w:lineRule="auto"/>
        <w:jc w:val="both"/>
        <w:rPr>
          <w:rFonts w:ascii="Times" w:eastAsia="Times" w:hAnsi="Times" w:cs="Times"/>
          <w:color w:val="000000"/>
        </w:rPr>
      </w:pPr>
      <w:r>
        <w:rPr>
          <w:rFonts w:ascii="Times" w:eastAsia="Times" w:hAnsi="Times" w:cs="Times"/>
          <w:b/>
          <w:color w:val="000000"/>
        </w:rPr>
        <w:t xml:space="preserve">Methods: </w:t>
      </w:r>
      <w:r>
        <w:rPr>
          <w:rFonts w:ascii="Times" w:eastAsia="Times" w:hAnsi="Times" w:cs="Times"/>
          <w:color w:val="000000"/>
        </w:rPr>
        <w:t xml:space="preserve">Logistic regression model for onset of </w:t>
      </w:r>
      <w:r>
        <w:rPr>
          <w:rFonts w:ascii="Times" w:eastAsia="Times" w:hAnsi="Times" w:cs="Times"/>
          <w:color w:val="000000"/>
          <w:highlight w:val="white"/>
        </w:rPr>
        <w:t>preeclampsia</w:t>
      </w:r>
      <w:r>
        <w:rPr>
          <w:rFonts w:ascii="Times" w:eastAsia="Times" w:hAnsi="Times" w:cs="Times"/>
          <w:color w:val="000000"/>
        </w:rPr>
        <w:t xml:space="preserve"> using: (</w:t>
      </w:r>
      <w:proofErr w:type="spellStart"/>
      <w:r>
        <w:rPr>
          <w:rFonts w:ascii="Times" w:eastAsia="Times" w:hAnsi="Times" w:cs="Times"/>
          <w:color w:val="000000"/>
        </w:rPr>
        <w:t>i</w:t>
      </w:r>
      <w:proofErr w:type="spellEnd"/>
      <w:r>
        <w:rPr>
          <w:rFonts w:ascii="Times" w:eastAsia="Times" w:hAnsi="Times" w:cs="Times"/>
          <w:color w:val="000000"/>
        </w:rPr>
        <w:t xml:space="preserve">) sFlt-1 (ii) </w:t>
      </w:r>
      <w:proofErr w:type="spellStart"/>
      <w:r>
        <w:rPr>
          <w:rFonts w:ascii="Times" w:eastAsia="Times" w:hAnsi="Times" w:cs="Times"/>
          <w:color w:val="000000"/>
        </w:rPr>
        <w:t>PlGF</w:t>
      </w:r>
      <w:proofErr w:type="spellEnd"/>
      <w:r>
        <w:rPr>
          <w:rFonts w:ascii="Times" w:eastAsia="Times" w:hAnsi="Times" w:cs="Times"/>
          <w:color w:val="000000"/>
        </w:rPr>
        <w:t>, (iii) sFlt-1/</w:t>
      </w:r>
      <w:proofErr w:type="spellStart"/>
      <w:r>
        <w:rPr>
          <w:rFonts w:ascii="Times" w:eastAsia="Times" w:hAnsi="Times" w:cs="Times"/>
          <w:color w:val="000000"/>
        </w:rPr>
        <w:t>PlGF</w:t>
      </w:r>
      <w:proofErr w:type="spellEnd"/>
      <w:r>
        <w:rPr>
          <w:rFonts w:ascii="Times" w:eastAsia="Times" w:hAnsi="Times" w:cs="Times"/>
          <w:color w:val="000000"/>
        </w:rPr>
        <w:t xml:space="preserve"> ratio (continuous), and (iv) sFlt-1/</w:t>
      </w:r>
      <w:proofErr w:type="spellStart"/>
      <w:r>
        <w:rPr>
          <w:rFonts w:ascii="Times" w:eastAsia="Times" w:hAnsi="Times" w:cs="Times"/>
          <w:color w:val="000000"/>
        </w:rPr>
        <w:t>PlGF</w:t>
      </w:r>
      <w:proofErr w:type="spellEnd"/>
      <w:r>
        <w:rPr>
          <w:rFonts w:ascii="Times" w:eastAsia="Times" w:hAnsi="Times" w:cs="Times"/>
          <w:color w:val="000000"/>
        </w:rPr>
        <w:t xml:space="preserve"> ratio as a cut-off above or below 38. </w:t>
      </w:r>
    </w:p>
    <w:p w14:paraId="523E36A0" w14:textId="77777777" w:rsidR="002D3616" w:rsidRDefault="003470FA">
      <w:pPr>
        <w:spacing w:line="480" w:lineRule="auto"/>
        <w:jc w:val="both"/>
        <w:rPr>
          <w:rFonts w:ascii="Times" w:eastAsia="Times" w:hAnsi="Times" w:cs="Times"/>
          <w:color w:val="000000"/>
        </w:rPr>
      </w:pPr>
      <w:r>
        <w:rPr>
          <w:rFonts w:ascii="Times" w:eastAsia="Times" w:hAnsi="Times" w:cs="Times"/>
          <w:b/>
          <w:color w:val="000000"/>
        </w:rPr>
        <w:t>Results:</w:t>
      </w:r>
      <w:r>
        <w:rPr>
          <w:rFonts w:ascii="Times" w:eastAsia="Times" w:hAnsi="Times" w:cs="Times"/>
          <w:color w:val="000000"/>
        </w:rPr>
        <w:t xml:space="preserve"> Of the total 370 women, 42 (11.3%) developed PE within seven days of screening. Models with sFlt-1 and sFlt-1/PIGF ratio (continuous) had greater overall performance than models with PIGF or with sFlt-1/</w:t>
      </w:r>
      <w:proofErr w:type="spellStart"/>
      <w:r>
        <w:rPr>
          <w:rFonts w:ascii="Times" w:eastAsia="Times" w:hAnsi="Times" w:cs="Times"/>
          <w:color w:val="000000"/>
        </w:rPr>
        <w:t>PlGF</w:t>
      </w:r>
      <w:proofErr w:type="spellEnd"/>
      <w:r>
        <w:rPr>
          <w:rFonts w:ascii="Times" w:eastAsia="Times" w:hAnsi="Times" w:cs="Times"/>
          <w:color w:val="000000"/>
        </w:rPr>
        <w:t xml:space="preserve"> ratio as a cut-off at 38 (R</w:t>
      </w:r>
      <w:r>
        <w:rPr>
          <w:rFonts w:ascii="Times" w:eastAsia="Times" w:hAnsi="Times" w:cs="Times"/>
          <w:color w:val="000000"/>
          <w:vertAlign w:val="superscript"/>
        </w:rPr>
        <w:t>2</w:t>
      </w:r>
      <w:r>
        <w:rPr>
          <w:rFonts w:ascii="Times" w:eastAsia="Times" w:hAnsi="Times" w:cs="Times"/>
          <w:color w:val="000000"/>
        </w:rPr>
        <w:t>: sFlt-1=55%, PIGF=38%, sFlt-1/PIGF ratio=57%, sFlt-1/</w:t>
      </w:r>
      <w:proofErr w:type="spellStart"/>
      <w:r>
        <w:rPr>
          <w:rFonts w:ascii="Times" w:eastAsia="Times" w:hAnsi="Times" w:cs="Times"/>
          <w:color w:val="000000"/>
        </w:rPr>
        <w:t>PlGF</w:t>
      </w:r>
      <w:proofErr w:type="spellEnd"/>
      <w:r>
        <w:rPr>
          <w:rFonts w:ascii="Times" w:eastAsia="Times" w:hAnsi="Times" w:cs="Times"/>
          <w:color w:val="000000"/>
        </w:rPr>
        <w:t xml:space="preserve"> ratio as cut-off at 38 model=46%). The discrimination performance was highest in the models with sFlt-1 (c-statistic=0.94) and sFlt-1/PIGF ratio (continuous) (c-statistic=0.94) compared to PIGF model (c-statistic=0.87) or sFlt-1/</w:t>
      </w:r>
      <w:proofErr w:type="spellStart"/>
      <w:r>
        <w:rPr>
          <w:rFonts w:ascii="Times" w:eastAsia="Times" w:hAnsi="Times" w:cs="Times"/>
          <w:color w:val="000000"/>
        </w:rPr>
        <w:t>PlGF</w:t>
      </w:r>
      <w:proofErr w:type="spellEnd"/>
      <w:r>
        <w:rPr>
          <w:rFonts w:ascii="Times" w:eastAsia="Times" w:hAnsi="Times" w:cs="Times"/>
          <w:color w:val="000000"/>
        </w:rPr>
        <w:t xml:space="preserve"> ratio cut-off at 38 (c-statistic=0.88).</w:t>
      </w:r>
    </w:p>
    <w:p w14:paraId="37C2891E" w14:textId="77777777" w:rsidR="002D3616" w:rsidRDefault="003470FA">
      <w:pPr>
        <w:spacing w:line="480" w:lineRule="auto"/>
        <w:jc w:val="both"/>
        <w:rPr>
          <w:rFonts w:ascii="Times" w:eastAsia="Times" w:hAnsi="Times" w:cs="Times"/>
          <w:color w:val="000000"/>
          <w:highlight w:val="white"/>
        </w:rPr>
      </w:pPr>
      <w:r>
        <w:rPr>
          <w:rFonts w:ascii="Times" w:eastAsia="Times" w:hAnsi="Times" w:cs="Times"/>
          <w:b/>
          <w:color w:val="000000"/>
          <w:highlight w:val="white"/>
        </w:rPr>
        <w:t>Conclusion</w:t>
      </w:r>
      <w:r>
        <w:rPr>
          <w:rFonts w:ascii="Times" w:eastAsia="Times" w:hAnsi="Times" w:cs="Times"/>
          <w:color w:val="000000"/>
          <w:highlight w:val="white"/>
        </w:rPr>
        <w:t xml:space="preserve">: Models using continuous values of sFlt-1/PIGF ratio or sFlt-1 only had better predictive performance compared to a PIGF only model or the model with </w:t>
      </w:r>
      <w:r>
        <w:rPr>
          <w:rFonts w:ascii="Times" w:eastAsia="Times" w:hAnsi="Times" w:cs="Times"/>
          <w:color w:val="000000"/>
        </w:rPr>
        <w:t>sFlt-1/</w:t>
      </w:r>
      <w:proofErr w:type="spellStart"/>
      <w:r>
        <w:rPr>
          <w:rFonts w:ascii="Times" w:eastAsia="Times" w:hAnsi="Times" w:cs="Times"/>
          <w:color w:val="000000"/>
        </w:rPr>
        <w:t>PlGF</w:t>
      </w:r>
      <w:proofErr w:type="spellEnd"/>
      <w:r>
        <w:rPr>
          <w:rFonts w:ascii="Times" w:eastAsia="Times" w:hAnsi="Times" w:cs="Times"/>
          <w:color w:val="000000"/>
        </w:rPr>
        <w:t xml:space="preserve"> ratio as a cut-off at 38</w:t>
      </w:r>
      <w:r>
        <w:rPr>
          <w:rFonts w:ascii="Times" w:eastAsia="Times" w:hAnsi="Times" w:cs="Times"/>
          <w:color w:val="000000"/>
          <w:highlight w:val="white"/>
        </w:rPr>
        <w:t xml:space="preserve">. </w:t>
      </w:r>
      <w:r>
        <w:rPr>
          <w:rFonts w:ascii="Times" w:eastAsia="Times" w:hAnsi="Times" w:cs="Times"/>
          <w:color w:val="000000"/>
        </w:rPr>
        <w:t xml:space="preserve"> </w:t>
      </w:r>
      <w:r>
        <w:rPr>
          <w:rFonts w:ascii="Times" w:eastAsia="Times" w:hAnsi="Times" w:cs="Times"/>
          <w:color w:val="000000"/>
          <w:highlight w:val="white"/>
        </w:rPr>
        <w:t xml:space="preserve">Further studies based on a larger sample size are warranted to substantiate this finding. </w:t>
      </w:r>
    </w:p>
    <w:p w14:paraId="3D131A71" w14:textId="77777777" w:rsidR="002D3616" w:rsidRDefault="003470FA">
      <w:pPr>
        <w:spacing w:line="480" w:lineRule="auto"/>
        <w:jc w:val="both"/>
        <w:rPr>
          <w:rFonts w:ascii="Times" w:eastAsia="Times" w:hAnsi="Times" w:cs="Times"/>
          <w:color w:val="000000"/>
        </w:rPr>
      </w:pPr>
      <w:r>
        <w:rPr>
          <w:rFonts w:ascii="Times" w:eastAsia="Times" w:hAnsi="Times" w:cs="Times"/>
          <w:b/>
          <w:color w:val="000000"/>
          <w:highlight w:val="white"/>
        </w:rPr>
        <w:t>Keywords</w:t>
      </w:r>
      <w:r>
        <w:rPr>
          <w:rFonts w:ascii="Times" w:eastAsia="Times" w:hAnsi="Times" w:cs="Times"/>
          <w:color w:val="000000"/>
          <w:highlight w:val="white"/>
        </w:rPr>
        <w:t xml:space="preserve">: </w:t>
      </w:r>
      <w:r>
        <w:rPr>
          <w:rFonts w:ascii="Times" w:eastAsia="Times" w:hAnsi="Times" w:cs="Times"/>
          <w:color w:val="000000"/>
        </w:rPr>
        <w:t xml:space="preserve">Prognostic model, preeclampsia, sFlt-1, </w:t>
      </w:r>
      <w:proofErr w:type="spellStart"/>
      <w:r>
        <w:rPr>
          <w:rFonts w:ascii="Times" w:eastAsia="Times" w:hAnsi="Times" w:cs="Times"/>
          <w:color w:val="000000"/>
        </w:rPr>
        <w:t>PlGF</w:t>
      </w:r>
      <w:proofErr w:type="spellEnd"/>
      <w:r>
        <w:rPr>
          <w:rFonts w:ascii="Times" w:eastAsia="Times" w:hAnsi="Times" w:cs="Times"/>
          <w:color w:val="000000"/>
        </w:rPr>
        <w:t>, INSPIRE trial</w:t>
      </w:r>
    </w:p>
    <w:p w14:paraId="20EA3306" w14:textId="77777777" w:rsidR="002D3616" w:rsidRDefault="002D3616">
      <w:pPr>
        <w:spacing w:line="480" w:lineRule="auto"/>
        <w:jc w:val="both"/>
        <w:rPr>
          <w:rFonts w:ascii="Times" w:eastAsia="Times" w:hAnsi="Times" w:cs="Times"/>
          <w:color w:val="000000"/>
        </w:rPr>
      </w:pPr>
    </w:p>
    <w:p w14:paraId="53B43C14" w14:textId="77777777" w:rsidR="002D3616" w:rsidRDefault="002D3616">
      <w:pPr>
        <w:spacing w:line="480" w:lineRule="auto"/>
        <w:jc w:val="both"/>
        <w:rPr>
          <w:rFonts w:ascii="Times" w:eastAsia="Times" w:hAnsi="Times" w:cs="Times"/>
          <w:color w:val="000000"/>
        </w:rPr>
      </w:pPr>
    </w:p>
    <w:p w14:paraId="4471AF5F" w14:textId="77777777" w:rsidR="002D3616" w:rsidRDefault="003470FA">
      <w:pPr>
        <w:spacing w:line="480" w:lineRule="auto"/>
        <w:jc w:val="both"/>
        <w:rPr>
          <w:rFonts w:ascii="Times" w:eastAsia="Times" w:hAnsi="Times" w:cs="Times"/>
          <w:b/>
          <w:color w:val="000000"/>
        </w:rPr>
      </w:pPr>
      <w:r>
        <w:rPr>
          <w:rFonts w:ascii="Times" w:eastAsia="Times" w:hAnsi="Times" w:cs="Times"/>
          <w:b/>
          <w:color w:val="000000"/>
        </w:rPr>
        <w:lastRenderedPageBreak/>
        <w:t xml:space="preserve">Introduction </w:t>
      </w:r>
    </w:p>
    <w:p w14:paraId="58619CC3"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Preeclampsia (PE), defined as a new onset of hypertension and proteinuria usually occurring after 20 weeks of gestation up to and after delivery </w:t>
      </w:r>
      <w:r>
        <w:rPr>
          <w:rFonts w:ascii="Times" w:eastAsia="Times" w:hAnsi="Times" w:cs="Times"/>
          <w:color w:val="000000"/>
          <w:vertAlign w:val="superscript"/>
        </w:rPr>
        <w:t>1</w:t>
      </w:r>
      <w:r>
        <w:rPr>
          <w:rFonts w:ascii="Times" w:eastAsia="Times" w:hAnsi="Times" w:cs="Times"/>
          <w:color w:val="000000"/>
        </w:rPr>
        <w:t xml:space="preserve">, confers a significant burden on maternal and </w:t>
      </w:r>
      <w:proofErr w:type="spellStart"/>
      <w:r>
        <w:rPr>
          <w:rFonts w:ascii="Times" w:eastAsia="Times" w:hAnsi="Times" w:cs="Times"/>
          <w:color w:val="000000"/>
        </w:rPr>
        <w:t>fetal</w:t>
      </w:r>
      <w:proofErr w:type="spellEnd"/>
      <w:r>
        <w:rPr>
          <w:rFonts w:ascii="Times" w:eastAsia="Times" w:hAnsi="Times" w:cs="Times"/>
          <w:color w:val="000000"/>
        </w:rPr>
        <w:t xml:space="preserve"> health outcomes. Globally, 2 to 5% of pregnancies suffer from PE leading to 76,000 maternal and more than 500,000 </w:t>
      </w:r>
      <w:proofErr w:type="spellStart"/>
      <w:r>
        <w:rPr>
          <w:rFonts w:ascii="Times" w:eastAsia="Times" w:hAnsi="Times" w:cs="Times"/>
          <w:color w:val="000000"/>
        </w:rPr>
        <w:t>fetal</w:t>
      </w:r>
      <w:proofErr w:type="spellEnd"/>
      <w:r>
        <w:rPr>
          <w:rFonts w:ascii="Times" w:eastAsia="Times" w:hAnsi="Times" w:cs="Times"/>
          <w:color w:val="000000"/>
        </w:rPr>
        <w:t xml:space="preserve"> deaths annually </w:t>
      </w:r>
      <w:r>
        <w:rPr>
          <w:rFonts w:ascii="Times" w:eastAsia="Times" w:hAnsi="Times" w:cs="Times"/>
          <w:color w:val="000000"/>
          <w:vertAlign w:val="superscript"/>
        </w:rPr>
        <w:t>2</w:t>
      </w:r>
      <w:r>
        <w:rPr>
          <w:rFonts w:ascii="Times" w:eastAsia="Times" w:hAnsi="Times" w:cs="Times"/>
          <w:color w:val="000000"/>
        </w:rPr>
        <w:t xml:space="preserve">. In the United Kingdom (UK), the incidence of mild PE remains very low (6 per 1,000 pregnancies) while severe PE occurs in around 1 to 2 % of pregnancies </w:t>
      </w:r>
      <w:r>
        <w:rPr>
          <w:rFonts w:ascii="Times" w:eastAsia="Times" w:hAnsi="Times" w:cs="Times"/>
          <w:color w:val="000000"/>
          <w:vertAlign w:val="superscript"/>
        </w:rPr>
        <w:t>3</w:t>
      </w:r>
      <w:r>
        <w:rPr>
          <w:rFonts w:ascii="Times" w:eastAsia="Times" w:hAnsi="Times" w:cs="Times"/>
          <w:color w:val="000000"/>
        </w:rPr>
        <w:t xml:space="preserve"> </w:t>
      </w:r>
      <w:r>
        <w:rPr>
          <w:rFonts w:ascii="Times" w:eastAsia="Times" w:hAnsi="Times" w:cs="Times"/>
          <w:color w:val="000000"/>
          <w:vertAlign w:val="superscript"/>
        </w:rPr>
        <w:t>4</w:t>
      </w:r>
      <w:r>
        <w:rPr>
          <w:rFonts w:ascii="Times" w:eastAsia="Times" w:hAnsi="Times" w:cs="Times"/>
          <w:color w:val="000000"/>
        </w:rPr>
        <w:t xml:space="preserve">. </w:t>
      </w:r>
    </w:p>
    <w:p w14:paraId="33C7C918" w14:textId="77777777" w:rsidR="002D3616" w:rsidRDefault="002D3616">
      <w:pPr>
        <w:spacing w:line="480" w:lineRule="auto"/>
        <w:jc w:val="both"/>
        <w:rPr>
          <w:rFonts w:ascii="Times" w:eastAsia="Times" w:hAnsi="Times" w:cs="Times"/>
          <w:color w:val="000000"/>
        </w:rPr>
      </w:pPr>
    </w:p>
    <w:p w14:paraId="127A78E9" w14:textId="77777777" w:rsidR="002D3616" w:rsidRDefault="003470FA">
      <w:pPr>
        <w:spacing w:line="480" w:lineRule="auto"/>
        <w:jc w:val="both"/>
        <w:rPr>
          <w:rFonts w:ascii="Times" w:eastAsia="Times" w:hAnsi="Times" w:cs="Times"/>
          <w:color w:val="000000"/>
          <w:highlight w:val="yellow"/>
        </w:rPr>
      </w:pPr>
      <w:r>
        <w:rPr>
          <w:rFonts w:ascii="Times" w:eastAsia="Times" w:hAnsi="Times" w:cs="Times"/>
          <w:color w:val="000000"/>
        </w:rPr>
        <w:t xml:space="preserve">To date, supportive management remains the current standard of care for treating PE as there are no therapeutic interventions other than delivery. The pathophysiological mechanisms underlying PE highlight an angiogenic imbalance, reflected by elevated placenta-derived soluble </w:t>
      </w:r>
      <w:proofErr w:type="spellStart"/>
      <w:r>
        <w:rPr>
          <w:rFonts w:ascii="Times" w:eastAsia="Times" w:hAnsi="Times" w:cs="Times"/>
          <w:color w:val="000000"/>
        </w:rPr>
        <w:t>fms</w:t>
      </w:r>
      <w:proofErr w:type="spellEnd"/>
      <w:r>
        <w:rPr>
          <w:rFonts w:ascii="Times" w:eastAsia="Times" w:hAnsi="Times" w:cs="Times"/>
          <w:color w:val="000000"/>
        </w:rPr>
        <w:t xml:space="preserve">-like </w:t>
      </w:r>
      <w:hyperlink r:id="rId10">
        <w:r>
          <w:rPr>
            <w:rFonts w:ascii="Times" w:eastAsia="Times" w:hAnsi="Times" w:cs="Times"/>
            <w:color w:val="000000"/>
          </w:rPr>
          <w:t>tyrosine</w:t>
        </w:r>
      </w:hyperlink>
      <w:r>
        <w:rPr>
          <w:rFonts w:ascii="Times" w:eastAsia="Times" w:hAnsi="Times" w:cs="Times"/>
          <w:color w:val="000000"/>
        </w:rPr>
        <w:t xml:space="preserve"> kinase-1 (sFlt-1) and decreased </w:t>
      </w:r>
      <w:hyperlink r:id="rId11">
        <w:r>
          <w:rPr>
            <w:rFonts w:ascii="Times" w:eastAsia="Times" w:hAnsi="Times" w:cs="Times"/>
            <w:color w:val="000000"/>
          </w:rPr>
          <w:t>placental growth factor</w:t>
        </w:r>
      </w:hyperlink>
      <w:r>
        <w:rPr>
          <w:rFonts w:ascii="Times" w:eastAsia="Times" w:hAnsi="Times" w:cs="Times"/>
          <w:color w:val="000000"/>
        </w:rPr>
        <w:t xml:space="preserve"> (</w:t>
      </w:r>
      <w:proofErr w:type="spellStart"/>
      <w:r>
        <w:rPr>
          <w:rFonts w:ascii="Times" w:eastAsia="Times" w:hAnsi="Times" w:cs="Times"/>
          <w:color w:val="000000"/>
        </w:rPr>
        <w:t>PlGF</w:t>
      </w:r>
      <w:proofErr w:type="spellEnd"/>
      <w:r>
        <w:rPr>
          <w:rFonts w:ascii="Times" w:eastAsia="Times" w:hAnsi="Times" w:cs="Times"/>
          <w:color w:val="000000"/>
        </w:rPr>
        <w:t xml:space="preserve">) levels in the maternal circulation </w:t>
      </w:r>
      <w:r>
        <w:rPr>
          <w:rFonts w:ascii="Times" w:eastAsia="Times" w:hAnsi="Times" w:cs="Times"/>
          <w:color w:val="000000"/>
          <w:vertAlign w:val="superscript"/>
        </w:rPr>
        <w:t>5–7</w:t>
      </w:r>
      <w:r>
        <w:rPr>
          <w:rFonts w:ascii="Times" w:eastAsia="Times" w:hAnsi="Times" w:cs="Times"/>
          <w:color w:val="000000"/>
        </w:rPr>
        <w:t xml:space="preserve">. These biomarkers have been successfully used for diagnosis, prediction of the disease </w:t>
      </w:r>
      <w:r>
        <w:rPr>
          <w:rFonts w:ascii="Times" w:eastAsia="Times" w:hAnsi="Times" w:cs="Times"/>
          <w:color w:val="000000"/>
          <w:vertAlign w:val="superscript"/>
        </w:rPr>
        <w:t>6–9</w:t>
      </w:r>
      <w:r>
        <w:rPr>
          <w:rFonts w:ascii="Times" w:eastAsia="Times" w:hAnsi="Times" w:cs="Times"/>
          <w:color w:val="000000"/>
        </w:rPr>
        <w:t xml:space="preserve"> and clinical decision making with a combination of other clinical parameters such as high blood pressure and proteinuria </w:t>
      </w:r>
      <w:r>
        <w:rPr>
          <w:rFonts w:ascii="Times" w:eastAsia="Times" w:hAnsi="Times" w:cs="Times"/>
          <w:color w:val="000000"/>
          <w:vertAlign w:val="superscript"/>
        </w:rPr>
        <w:t>3</w:t>
      </w:r>
      <w:r>
        <w:rPr>
          <w:rFonts w:ascii="Times" w:eastAsia="Times" w:hAnsi="Times" w:cs="Times"/>
          <w:color w:val="000000"/>
        </w:rPr>
        <w:t xml:space="preserve">. </w:t>
      </w:r>
      <w:r>
        <w:rPr>
          <w:rFonts w:ascii="Times" w:eastAsia="Times" w:hAnsi="Times" w:cs="Times"/>
        </w:rPr>
        <w:t>Nevertheless</w:t>
      </w:r>
      <w:r>
        <w:rPr>
          <w:rFonts w:ascii="Times" w:eastAsia="Times" w:hAnsi="Times" w:cs="Times"/>
          <w:color w:val="000000"/>
        </w:rPr>
        <w:t>,</w:t>
      </w:r>
      <w:r>
        <w:rPr>
          <w:rFonts w:ascii="Times" w:eastAsia="Times" w:hAnsi="Times" w:cs="Times"/>
          <w:color w:val="000000"/>
          <w:highlight w:val="yellow"/>
        </w:rPr>
        <w:t xml:space="preserve"> </w:t>
      </w:r>
      <w:r>
        <w:rPr>
          <w:rFonts w:ascii="Times" w:eastAsia="Times" w:hAnsi="Times" w:cs="Times"/>
          <w:highlight w:val="yellow"/>
        </w:rPr>
        <w:t xml:space="preserve">latest evidence indicates that the ratio of the biomarkers is elevated but its predictive value in women with suspected preeclampsia is unclear </w:t>
      </w:r>
      <w:r>
        <w:rPr>
          <w:rFonts w:ascii="Times" w:eastAsia="Times" w:hAnsi="Times" w:cs="Times"/>
          <w:highlight w:val="yellow"/>
          <w:vertAlign w:val="superscript"/>
        </w:rPr>
        <w:t>5</w:t>
      </w:r>
      <w:r>
        <w:rPr>
          <w:rFonts w:ascii="Times" w:eastAsia="Times" w:hAnsi="Times" w:cs="Times"/>
          <w:highlight w:val="yellow"/>
        </w:rPr>
        <w:t>.</w:t>
      </w:r>
    </w:p>
    <w:p w14:paraId="7F7D384A" w14:textId="77777777" w:rsidR="002D3616" w:rsidRDefault="002D3616">
      <w:pPr>
        <w:spacing w:line="480" w:lineRule="auto"/>
        <w:jc w:val="both"/>
        <w:rPr>
          <w:rFonts w:ascii="Times" w:eastAsia="Times" w:hAnsi="Times" w:cs="Times"/>
          <w:color w:val="000000"/>
        </w:rPr>
      </w:pPr>
    </w:p>
    <w:p w14:paraId="01E57130"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Prognostic models based solely on the classical clinical risk factors (high blood pressure and proteinuria) have been reported to have poorer predictive ability compared to the models developed using sFlt-1 and PIGF biomarkers </w:t>
      </w:r>
      <w:r>
        <w:rPr>
          <w:rFonts w:ascii="Times" w:eastAsia="Times" w:hAnsi="Times" w:cs="Times"/>
          <w:color w:val="000000"/>
          <w:vertAlign w:val="superscript"/>
        </w:rPr>
        <w:t>10</w:t>
      </w:r>
      <w:r>
        <w:rPr>
          <w:rFonts w:ascii="Times" w:eastAsia="Times" w:hAnsi="Times" w:cs="Times"/>
          <w:color w:val="000000"/>
        </w:rPr>
        <w:t xml:space="preserve"> </w:t>
      </w:r>
      <w:r>
        <w:rPr>
          <w:rFonts w:ascii="Times" w:eastAsia="Times" w:hAnsi="Times" w:cs="Times"/>
          <w:color w:val="000000"/>
          <w:vertAlign w:val="superscript"/>
        </w:rPr>
        <w:t>11</w:t>
      </w:r>
      <w:r>
        <w:rPr>
          <w:rFonts w:ascii="Times" w:eastAsia="Times" w:hAnsi="Times" w:cs="Times"/>
          <w:color w:val="000000"/>
        </w:rPr>
        <w:t xml:space="preserve">. However, most of the prognostic models built using sFlt-1, PIGF, or their ratio are based on dichotomising the continuous measurements of these markers using threshold values </w:t>
      </w:r>
      <w:r>
        <w:rPr>
          <w:rFonts w:ascii="Times" w:eastAsia="Times" w:hAnsi="Times" w:cs="Times"/>
          <w:color w:val="000000"/>
          <w:vertAlign w:val="superscript"/>
        </w:rPr>
        <w:t>4</w:t>
      </w:r>
      <w:r>
        <w:rPr>
          <w:rFonts w:ascii="Times" w:eastAsia="Times" w:hAnsi="Times" w:cs="Times"/>
          <w:color w:val="000000"/>
        </w:rPr>
        <w:t xml:space="preserve"> </w:t>
      </w:r>
      <w:r>
        <w:rPr>
          <w:rFonts w:ascii="Times" w:eastAsia="Times" w:hAnsi="Times" w:cs="Times"/>
          <w:color w:val="000000"/>
          <w:vertAlign w:val="superscript"/>
        </w:rPr>
        <w:t>5</w:t>
      </w:r>
      <w:r>
        <w:rPr>
          <w:rFonts w:ascii="Times" w:eastAsia="Times" w:hAnsi="Times" w:cs="Times"/>
          <w:color w:val="000000"/>
        </w:rPr>
        <w:t xml:space="preserve"> </w:t>
      </w:r>
      <w:r>
        <w:rPr>
          <w:rFonts w:ascii="Times" w:eastAsia="Times" w:hAnsi="Times" w:cs="Times"/>
          <w:color w:val="000000"/>
          <w:vertAlign w:val="superscript"/>
        </w:rPr>
        <w:t>12–15</w:t>
      </w:r>
      <w:r>
        <w:rPr>
          <w:rFonts w:ascii="Times" w:eastAsia="Times" w:hAnsi="Times" w:cs="Times"/>
          <w:color w:val="000000"/>
        </w:rPr>
        <w:t xml:space="preserve">. Moreover, only a few studies have modelled or compared sFlt-1, PIGF, or their ratio on a continuous scale </w:t>
      </w:r>
      <w:r>
        <w:rPr>
          <w:rFonts w:ascii="Times" w:eastAsia="Times" w:hAnsi="Times" w:cs="Times"/>
          <w:color w:val="000000"/>
          <w:vertAlign w:val="superscript"/>
        </w:rPr>
        <w:t>16–18</w:t>
      </w:r>
      <w:r>
        <w:rPr>
          <w:rFonts w:ascii="Times" w:eastAsia="Times" w:hAnsi="Times" w:cs="Times"/>
          <w:color w:val="000000"/>
        </w:rPr>
        <w:t>.</w:t>
      </w:r>
    </w:p>
    <w:p w14:paraId="5A33ED1E" w14:textId="77777777" w:rsidR="002D3616" w:rsidRDefault="002D3616">
      <w:pPr>
        <w:spacing w:line="480" w:lineRule="auto"/>
        <w:jc w:val="both"/>
        <w:rPr>
          <w:rFonts w:ascii="Times" w:eastAsia="Times" w:hAnsi="Times" w:cs="Times"/>
          <w:color w:val="000000"/>
        </w:rPr>
      </w:pPr>
    </w:p>
    <w:p w14:paraId="151C77F6" w14:textId="1FCD5E6F" w:rsidR="002D3616" w:rsidRDefault="003470FA">
      <w:pPr>
        <w:spacing w:before="240" w:line="480" w:lineRule="auto"/>
        <w:jc w:val="both"/>
        <w:rPr>
          <w:rFonts w:ascii="Times" w:eastAsia="Times" w:hAnsi="Times" w:cs="Times"/>
          <w:color w:val="000000"/>
          <w:highlight w:val="yellow"/>
        </w:rPr>
      </w:pPr>
      <w:r>
        <w:rPr>
          <w:rFonts w:ascii="Times" w:eastAsia="Times" w:hAnsi="Times" w:cs="Times"/>
          <w:color w:val="000000"/>
        </w:rPr>
        <w:lastRenderedPageBreak/>
        <w:t xml:space="preserve">Binary thresholds, whilst simpler for clinical application </w:t>
      </w:r>
      <w:r>
        <w:rPr>
          <w:rFonts w:ascii="Times" w:eastAsia="Times" w:hAnsi="Times" w:cs="Times"/>
          <w:color w:val="000000"/>
          <w:vertAlign w:val="superscript"/>
        </w:rPr>
        <w:t>19</w:t>
      </w:r>
      <w:r>
        <w:rPr>
          <w:rFonts w:ascii="Times" w:eastAsia="Times" w:hAnsi="Times" w:cs="Times"/>
          <w:color w:val="000000"/>
        </w:rPr>
        <w:t xml:space="preserve">, may lead to a loss in statistical power and lead to models with poor predictive performance </w:t>
      </w:r>
      <w:r>
        <w:rPr>
          <w:rFonts w:ascii="Times" w:eastAsia="Times" w:hAnsi="Times" w:cs="Times"/>
          <w:color w:val="000000"/>
          <w:vertAlign w:val="superscript"/>
        </w:rPr>
        <w:t>20</w:t>
      </w:r>
      <w:r>
        <w:rPr>
          <w:rFonts w:ascii="Times" w:eastAsia="Times" w:hAnsi="Times" w:cs="Times"/>
          <w:color w:val="000000"/>
        </w:rPr>
        <w:t xml:space="preserve">. In addition, an explicit comparison of the predictive performance of continuous values of sFlt-1, </w:t>
      </w:r>
      <w:proofErr w:type="spellStart"/>
      <w:r>
        <w:rPr>
          <w:rFonts w:ascii="Times" w:eastAsia="Times" w:hAnsi="Times" w:cs="Times"/>
          <w:color w:val="000000"/>
        </w:rPr>
        <w:t>PlGF</w:t>
      </w:r>
      <w:proofErr w:type="spellEnd"/>
      <w:r>
        <w:rPr>
          <w:rFonts w:ascii="Times" w:eastAsia="Times" w:hAnsi="Times" w:cs="Times"/>
          <w:color w:val="000000"/>
        </w:rPr>
        <w:t xml:space="preserve"> biomarkers or their ratio against cut-off-based models for predicting PE currently remains uncertain. This study aimed to bridge these gaps by applying a probabilistic approach that uses the sFlt-1 and </w:t>
      </w:r>
      <w:proofErr w:type="spellStart"/>
      <w:r>
        <w:rPr>
          <w:rFonts w:ascii="Times" w:eastAsia="Times" w:hAnsi="Times" w:cs="Times"/>
          <w:color w:val="000000"/>
        </w:rPr>
        <w:t>PlGF</w:t>
      </w:r>
      <w:proofErr w:type="spellEnd"/>
      <w:r>
        <w:rPr>
          <w:rFonts w:ascii="Times" w:eastAsia="Times" w:hAnsi="Times" w:cs="Times"/>
          <w:color w:val="000000"/>
        </w:rPr>
        <w:t xml:space="preserve"> biomarkers as continuous as opposed to a simplistic discrete (rule-in/rule-out) approach based on a defined threshold obtained from the mathematical ratio of sFlt-1 and </w:t>
      </w:r>
      <w:proofErr w:type="spellStart"/>
      <w:r>
        <w:rPr>
          <w:rFonts w:ascii="Times" w:eastAsia="Times" w:hAnsi="Times" w:cs="Times"/>
          <w:color w:val="000000"/>
        </w:rPr>
        <w:t>PlGF</w:t>
      </w:r>
      <w:proofErr w:type="spellEnd"/>
      <w:r>
        <w:rPr>
          <w:rFonts w:ascii="Times" w:eastAsia="Times" w:hAnsi="Times" w:cs="Times"/>
          <w:color w:val="000000"/>
        </w:rPr>
        <w:t xml:space="preserve">. Specifically, we aimed to compare the prognostic utility of models </w:t>
      </w:r>
      <w:r w:rsidR="007C47B7">
        <w:rPr>
          <w:rFonts w:ascii="Times" w:eastAsia="Times" w:hAnsi="Times" w:cs="Times"/>
          <w:color w:val="000000"/>
        </w:rPr>
        <w:t xml:space="preserve">using </w:t>
      </w:r>
      <w:r>
        <w:rPr>
          <w:rFonts w:ascii="Times" w:eastAsia="Times" w:hAnsi="Times" w:cs="Times"/>
          <w:color w:val="000000"/>
        </w:rPr>
        <w:t xml:space="preserve">the continuous values of sFlt-1, </w:t>
      </w:r>
      <w:proofErr w:type="spellStart"/>
      <w:r>
        <w:rPr>
          <w:rFonts w:ascii="Times" w:eastAsia="Times" w:hAnsi="Times" w:cs="Times"/>
          <w:color w:val="000000"/>
        </w:rPr>
        <w:t>PlGF</w:t>
      </w:r>
      <w:proofErr w:type="spellEnd"/>
      <w:r>
        <w:rPr>
          <w:rFonts w:ascii="Times" w:eastAsia="Times" w:hAnsi="Times" w:cs="Times"/>
          <w:color w:val="000000"/>
        </w:rPr>
        <w:t xml:space="preserve">, </w:t>
      </w:r>
      <w:r w:rsidR="007C47B7">
        <w:rPr>
          <w:rFonts w:ascii="Times" w:eastAsia="Times" w:hAnsi="Times" w:cs="Times"/>
          <w:color w:val="000000"/>
        </w:rPr>
        <w:t xml:space="preserve">or </w:t>
      </w:r>
      <w:r>
        <w:rPr>
          <w:rFonts w:ascii="Times" w:eastAsia="Times" w:hAnsi="Times" w:cs="Times"/>
          <w:color w:val="000000"/>
        </w:rPr>
        <w:t>sFlt-1/</w:t>
      </w:r>
      <w:proofErr w:type="spellStart"/>
      <w:r>
        <w:rPr>
          <w:rFonts w:ascii="Times" w:eastAsia="Times" w:hAnsi="Times" w:cs="Times"/>
          <w:color w:val="000000"/>
        </w:rPr>
        <w:t>PlGF</w:t>
      </w:r>
      <w:proofErr w:type="spellEnd"/>
      <w:r>
        <w:rPr>
          <w:rFonts w:ascii="Times" w:eastAsia="Times" w:hAnsi="Times" w:cs="Times"/>
          <w:color w:val="000000"/>
        </w:rPr>
        <w:t xml:space="preserve"> ratio for predicting PE within 7 days of screening </w:t>
      </w:r>
      <w:r w:rsidR="007676E0">
        <w:rPr>
          <w:rFonts w:ascii="Times" w:eastAsia="Times" w:hAnsi="Times" w:cs="Times"/>
          <w:color w:val="000000"/>
        </w:rPr>
        <w:t xml:space="preserve">among those with suspected PE </w:t>
      </w:r>
      <w:r>
        <w:rPr>
          <w:rFonts w:ascii="Times" w:eastAsia="Times" w:hAnsi="Times" w:cs="Times"/>
          <w:color w:val="000000"/>
        </w:rPr>
        <w:t>compared to the recommended cut-off-based value of the ratio of sFlt-1/</w:t>
      </w:r>
      <w:proofErr w:type="spellStart"/>
      <w:r>
        <w:rPr>
          <w:rFonts w:ascii="Times" w:eastAsia="Times" w:hAnsi="Times" w:cs="Times"/>
          <w:color w:val="000000"/>
        </w:rPr>
        <w:t>PlGF</w:t>
      </w:r>
      <w:proofErr w:type="spellEnd"/>
      <w:r>
        <w:rPr>
          <w:rFonts w:ascii="Times" w:eastAsia="Times" w:hAnsi="Times" w:cs="Times"/>
          <w:color w:val="000000"/>
        </w:rPr>
        <w:t xml:space="preserve"> of 38</w:t>
      </w:r>
      <w:r w:rsidR="00726CAC">
        <w:rPr>
          <w:rFonts w:ascii="Times" w:eastAsia="Times" w:hAnsi="Times" w:cs="Times"/>
          <w:color w:val="000000"/>
        </w:rPr>
        <w:t>.</w:t>
      </w:r>
      <w:r>
        <w:rPr>
          <w:rFonts w:ascii="Times" w:eastAsia="Times" w:hAnsi="Times" w:cs="Times"/>
          <w:color w:val="000000"/>
        </w:rPr>
        <w:t xml:space="preserve"> </w:t>
      </w:r>
    </w:p>
    <w:p w14:paraId="0032DD9B" w14:textId="77777777" w:rsidR="002D3616" w:rsidRDefault="003470FA">
      <w:pPr>
        <w:pBdr>
          <w:top w:val="nil"/>
          <w:left w:val="nil"/>
          <w:bottom w:val="nil"/>
          <w:right w:val="nil"/>
          <w:between w:val="nil"/>
        </w:pBdr>
        <w:shd w:val="clear" w:color="auto" w:fill="FFFFFF"/>
        <w:spacing w:before="240" w:line="480" w:lineRule="auto"/>
        <w:ind w:left="360" w:hanging="360"/>
        <w:jc w:val="both"/>
        <w:rPr>
          <w:rFonts w:ascii="Times" w:eastAsia="Times" w:hAnsi="Times" w:cs="Times"/>
          <w:b/>
          <w:color w:val="000000"/>
        </w:rPr>
      </w:pPr>
      <w:bookmarkStart w:id="4" w:name="_heading=h.2et92p0" w:colFirst="0" w:colLast="0"/>
      <w:bookmarkEnd w:id="4"/>
      <w:r>
        <w:rPr>
          <w:rFonts w:ascii="Times" w:eastAsia="Times" w:hAnsi="Times" w:cs="Times"/>
          <w:b/>
          <w:color w:val="000000"/>
        </w:rPr>
        <w:t>Methodology</w:t>
      </w:r>
    </w:p>
    <w:p w14:paraId="3A6C307E" w14:textId="77777777" w:rsidR="002D3616" w:rsidRDefault="003470FA">
      <w:pPr>
        <w:pBdr>
          <w:top w:val="nil"/>
          <w:left w:val="nil"/>
          <w:bottom w:val="nil"/>
          <w:right w:val="nil"/>
          <w:between w:val="nil"/>
        </w:pBdr>
        <w:spacing w:line="480" w:lineRule="auto"/>
        <w:jc w:val="both"/>
        <w:rPr>
          <w:rFonts w:ascii="Times" w:eastAsia="Times" w:hAnsi="Times" w:cs="Times"/>
          <w:b/>
          <w:color w:val="000000"/>
        </w:rPr>
      </w:pPr>
      <w:bookmarkStart w:id="5" w:name="_heading=h.tyjcwt" w:colFirst="0" w:colLast="0"/>
      <w:bookmarkEnd w:id="5"/>
      <w:r>
        <w:rPr>
          <w:rFonts w:ascii="Times" w:eastAsia="Times" w:hAnsi="Times" w:cs="Times"/>
          <w:b/>
          <w:color w:val="000000"/>
        </w:rPr>
        <w:t>Data source: The INSPIRE trial</w:t>
      </w:r>
    </w:p>
    <w:p w14:paraId="638D198E" w14:textId="11E385EA"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Data from the prospective, </w:t>
      </w:r>
      <w:r w:rsidR="00000FB1">
        <w:rPr>
          <w:rFonts w:ascii="Times" w:eastAsia="Times" w:hAnsi="Times" w:cs="Times"/>
          <w:color w:val="000000"/>
        </w:rPr>
        <w:t>parallel-group</w:t>
      </w:r>
      <w:r>
        <w:rPr>
          <w:rFonts w:ascii="Times" w:eastAsia="Times" w:hAnsi="Times" w:cs="Times"/>
          <w:color w:val="000000"/>
        </w:rPr>
        <w:t xml:space="preserve">, randomized interventional study evaluating the short-term prediction of preeclampsia/eclampsia (INSPIRE) trial was used for the purpose of this research </w:t>
      </w:r>
      <w:r>
        <w:rPr>
          <w:rFonts w:ascii="Times" w:eastAsia="Times" w:hAnsi="Times" w:cs="Times"/>
          <w:color w:val="000000"/>
          <w:vertAlign w:val="superscript"/>
        </w:rPr>
        <w:t>21</w:t>
      </w:r>
      <w:r>
        <w:rPr>
          <w:rFonts w:ascii="Times" w:eastAsia="Times" w:hAnsi="Times" w:cs="Times"/>
          <w:color w:val="000000"/>
        </w:rPr>
        <w:t>. The INSPIRE trial was conducted in the UK that aimed to evaluate the use of sFlt-1/</w:t>
      </w:r>
      <w:proofErr w:type="spellStart"/>
      <w:r>
        <w:rPr>
          <w:rFonts w:ascii="Times" w:eastAsia="Times" w:hAnsi="Times" w:cs="Times"/>
          <w:color w:val="000000"/>
        </w:rPr>
        <w:t>PlGF</w:t>
      </w:r>
      <w:proofErr w:type="spellEnd"/>
      <w:r>
        <w:rPr>
          <w:rFonts w:ascii="Times" w:eastAsia="Times" w:hAnsi="Times" w:cs="Times"/>
          <w:color w:val="000000"/>
        </w:rPr>
        <w:t xml:space="preserve"> ratio in women presenting with suspected preeclampsia and its effect on PE-related hospitalisation within 24 hours of the test, within 7 days, or by delivery as the primary outcome. The study was conducted from June 2015 to April 2017 at the John Radcliffe Hospital, Oxford, UK - a tertiary referral centre with a preeclampsia prevalence of 2.9 %. </w:t>
      </w:r>
    </w:p>
    <w:p w14:paraId="371A4543" w14:textId="77777777" w:rsidR="002D3616" w:rsidRDefault="003470FA">
      <w:pPr>
        <w:spacing w:before="240" w:line="480" w:lineRule="auto"/>
        <w:jc w:val="both"/>
        <w:rPr>
          <w:rFonts w:ascii="Times" w:eastAsia="Times" w:hAnsi="Times" w:cs="Times"/>
          <w:color w:val="000000"/>
        </w:rPr>
      </w:pPr>
      <w:r>
        <w:rPr>
          <w:rFonts w:ascii="Times" w:eastAsia="Times" w:hAnsi="Times" w:cs="Times"/>
          <w:color w:val="000000"/>
        </w:rPr>
        <w:t>The study enrolled 370 pregnant women (186 reveal trial arm versus 184 non-reveal trial arm) aged 18 years or above, with singleton pregnancies between 24</w:t>
      </w:r>
      <w:r>
        <w:rPr>
          <w:rFonts w:ascii="Times" w:eastAsia="Times" w:hAnsi="Times" w:cs="Times"/>
          <w:color w:val="000000"/>
          <w:vertAlign w:val="superscript"/>
        </w:rPr>
        <w:t>+0</w:t>
      </w:r>
      <w:r>
        <w:rPr>
          <w:rFonts w:ascii="Times" w:eastAsia="Times" w:hAnsi="Times" w:cs="Times"/>
          <w:color w:val="000000"/>
        </w:rPr>
        <w:t xml:space="preserve"> and 37</w:t>
      </w:r>
      <w:r>
        <w:rPr>
          <w:rFonts w:ascii="Times" w:eastAsia="Times" w:hAnsi="Times" w:cs="Times"/>
          <w:color w:val="000000"/>
          <w:vertAlign w:val="superscript"/>
        </w:rPr>
        <w:t>+0</w:t>
      </w:r>
      <w:r>
        <w:rPr>
          <w:rFonts w:ascii="Times" w:eastAsia="Times" w:hAnsi="Times" w:cs="Times"/>
          <w:color w:val="000000"/>
        </w:rPr>
        <w:t xml:space="preserve"> weeks of gestation with a clinical suspicion of preeclampsia.</w:t>
      </w:r>
      <w:r>
        <w:t xml:space="preserve"> Women with pre-existing diagnosed preeclampsia/eclampsia were excluded from the trial. </w:t>
      </w:r>
      <w:r>
        <w:rPr>
          <w:rFonts w:ascii="Times" w:eastAsia="Times" w:hAnsi="Times" w:cs="Times"/>
          <w:color w:val="000000"/>
        </w:rPr>
        <w:t xml:space="preserve">Suspicion of preeclampsia was defined </w:t>
      </w:r>
      <w:r>
        <w:rPr>
          <w:rFonts w:ascii="Times" w:eastAsia="Times" w:hAnsi="Times" w:cs="Times"/>
          <w:color w:val="000000"/>
        </w:rPr>
        <w:lastRenderedPageBreak/>
        <w:t xml:space="preserve">by a new onset elevated blood pressure or worsening of pre-existing hypertension or new-onset proteinuria or worsening of pre-existing proteinuria or new-onset headache, visual disturbance, oedema or right upper quadrant pain, or any other clinical suspicion of preeclampsia </w:t>
      </w:r>
      <w:r>
        <w:rPr>
          <w:rFonts w:ascii="Times" w:eastAsia="Times" w:hAnsi="Times" w:cs="Times"/>
          <w:color w:val="000000"/>
          <w:vertAlign w:val="superscript"/>
        </w:rPr>
        <w:t>21</w:t>
      </w:r>
      <w:r>
        <w:rPr>
          <w:rFonts w:ascii="Times" w:eastAsia="Times" w:hAnsi="Times" w:cs="Times"/>
          <w:color w:val="000000"/>
        </w:rPr>
        <w:t xml:space="preserve">. </w:t>
      </w:r>
    </w:p>
    <w:p w14:paraId="05DFEBAB" w14:textId="77777777" w:rsidR="002D3616" w:rsidRDefault="003470FA">
      <w:pPr>
        <w:spacing w:before="240" w:line="480" w:lineRule="auto"/>
        <w:jc w:val="both"/>
        <w:rPr>
          <w:rFonts w:ascii="Times" w:eastAsia="Times" w:hAnsi="Times" w:cs="Times"/>
          <w:color w:val="000000"/>
        </w:rPr>
      </w:pPr>
      <w:r>
        <w:rPr>
          <w:rFonts w:ascii="Times" w:eastAsia="Times" w:hAnsi="Times" w:cs="Times"/>
          <w:color w:val="000000"/>
        </w:rPr>
        <w:t>Overall, there were 85 women with PE until delivery and 42 had PE within 7 days of screening. The study found that there was no difference in preeclampsia-related admissions within 24 hours of the test between trial arms (sixty patients were admitted in the intervention group (reveal trial arm: standard clinical management plus revealing biomarker results) and 48 in the comparator group (non-reveal trial arm: standard clinical management).</w:t>
      </w:r>
    </w:p>
    <w:p w14:paraId="7A60A7CE" w14:textId="77777777" w:rsidR="002D3616" w:rsidRDefault="002D3616">
      <w:pPr>
        <w:pBdr>
          <w:top w:val="nil"/>
          <w:left w:val="nil"/>
          <w:bottom w:val="nil"/>
          <w:right w:val="nil"/>
          <w:between w:val="nil"/>
        </w:pBdr>
        <w:spacing w:line="480" w:lineRule="auto"/>
        <w:jc w:val="both"/>
        <w:rPr>
          <w:rFonts w:ascii="Times" w:eastAsia="Times" w:hAnsi="Times" w:cs="Times"/>
          <w:b/>
          <w:color w:val="000000"/>
        </w:rPr>
      </w:pPr>
    </w:p>
    <w:p w14:paraId="69127BE0" w14:textId="77777777" w:rsidR="002D3616" w:rsidRDefault="003470FA">
      <w:pPr>
        <w:pBdr>
          <w:top w:val="nil"/>
          <w:left w:val="nil"/>
          <w:bottom w:val="nil"/>
          <w:right w:val="nil"/>
          <w:between w:val="nil"/>
        </w:pBdr>
        <w:spacing w:line="480" w:lineRule="auto"/>
        <w:jc w:val="both"/>
        <w:rPr>
          <w:rFonts w:ascii="Times" w:eastAsia="Times" w:hAnsi="Times" w:cs="Times"/>
          <w:b/>
          <w:color w:val="000000"/>
        </w:rPr>
      </w:pPr>
      <w:r>
        <w:rPr>
          <w:rFonts w:ascii="Times" w:eastAsia="Times" w:hAnsi="Times" w:cs="Times"/>
          <w:b/>
          <w:color w:val="000000"/>
        </w:rPr>
        <w:t>Primary outcome and candidate predictors</w:t>
      </w:r>
    </w:p>
    <w:p w14:paraId="05272BE7" w14:textId="77777777" w:rsidR="002D3616" w:rsidRDefault="003470FA">
      <w:pPr>
        <w:pBdr>
          <w:top w:val="nil"/>
          <w:left w:val="nil"/>
          <w:bottom w:val="nil"/>
          <w:right w:val="nil"/>
          <w:between w:val="nil"/>
        </w:pBdr>
        <w:spacing w:line="480" w:lineRule="auto"/>
        <w:ind w:left="90"/>
        <w:jc w:val="both"/>
        <w:rPr>
          <w:rFonts w:ascii="Times" w:eastAsia="Times" w:hAnsi="Times" w:cs="Times"/>
          <w:color w:val="000000"/>
          <w:highlight w:val="yellow"/>
        </w:rPr>
      </w:pPr>
      <w:bookmarkStart w:id="6" w:name="_heading=h.17dp8vu" w:colFirst="0" w:colLast="0"/>
      <w:bookmarkEnd w:id="6"/>
      <w:r>
        <w:rPr>
          <w:rFonts w:ascii="Times" w:eastAsia="Times" w:hAnsi="Times" w:cs="Times"/>
          <w:color w:val="000000"/>
        </w:rPr>
        <w:t xml:space="preserve">The primary outcome in this study was the onset of PE within seven days of the initial biomarker test as defined in the INSPIRE trial </w:t>
      </w:r>
      <w:r>
        <w:rPr>
          <w:rFonts w:ascii="Times" w:eastAsia="Times" w:hAnsi="Times" w:cs="Times"/>
          <w:color w:val="000000"/>
          <w:vertAlign w:val="superscript"/>
        </w:rPr>
        <w:t>21</w:t>
      </w:r>
      <w:r>
        <w:rPr>
          <w:rFonts w:ascii="Times" w:eastAsia="Times" w:hAnsi="Times" w:cs="Times"/>
          <w:color w:val="000000"/>
        </w:rPr>
        <w:t xml:space="preserve">.  </w:t>
      </w:r>
      <w:r>
        <w:t>After informed consent, study participants had standard clinical assessment and additional blood sample for biomarker measurement were collected and centrifuged within one hour of collection. The sFlt-1 and PIGF values were then measured using the fully automated methods (</w:t>
      </w:r>
      <w:proofErr w:type="spellStart"/>
      <w:r>
        <w:t>Elecsys</w:t>
      </w:r>
      <w:proofErr w:type="spellEnd"/>
      <w:r>
        <w:t>® sFlt-1/</w:t>
      </w:r>
      <w:proofErr w:type="spellStart"/>
      <w:r>
        <w:t>PlGF</w:t>
      </w:r>
      <w:proofErr w:type="spellEnd"/>
      <w:r>
        <w:t xml:space="preserve">) using the Roche e411 </w:t>
      </w:r>
      <w:proofErr w:type="spellStart"/>
      <w:r>
        <w:t>analyzer</w:t>
      </w:r>
      <w:proofErr w:type="spellEnd"/>
      <w:r>
        <w:t xml:space="preserve"> (Roche Diagnostics Limited, Burgess Hill, United Kingdom) </w:t>
      </w:r>
      <w:r>
        <w:rPr>
          <w:vertAlign w:val="superscript"/>
        </w:rPr>
        <w:t>24</w:t>
      </w:r>
      <w:r>
        <w:t xml:space="preserve">. </w:t>
      </w:r>
    </w:p>
    <w:p w14:paraId="4ACBE322" w14:textId="77777777" w:rsidR="002D3616" w:rsidRDefault="003470FA">
      <w:pPr>
        <w:pBdr>
          <w:top w:val="nil"/>
          <w:left w:val="nil"/>
          <w:bottom w:val="nil"/>
          <w:right w:val="nil"/>
          <w:between w:val="nil"/>
        </w:pBdr>
        <w:spacing w:line="480" w:lineRule="auto"/>
        <w:ind w:left="90"/>
        <w:jc w:val="both"/>
        <w:rPr>
          <w:rFonts w:ascii="Times" w:eastAsia="Times" w:hAnsi="Times" w:cs="Times"/>
          <w:color w:val="000000"/>
        </w:rPr>
      </w:pPr>
      <w:r>
        <w:rPr>
          <w:rFonts w:ascii="Times" w:eastAsia="Times" w:hAnsi="Times" w:cs="Times"/>
          <w:color w:val="000000"/>
        </w:rPr>
        <w:t xml:space="preserve">A logistic regression model for predicting the onset of PE within 7 days of screening was done using biomarkers sFlt-1 (continuous values), </w:t>
      </w:r>
      <w:proofErr w:type="spellStart"/>
      <w:r>
        <w:rPr>
          <w:rFonts w:ascii="Times" w:eastAsia="Times" w:hAnsi="Times" w:cs="Times"/>
          <w:color w:val="000000"/>
        </w:rPr>
        <w:t>PlGF</w:t>
      </w:r>
      <w:proofErr w:type="spellEnd"/>
      <w:r>
        <w:rPr>
          <w:rFonts w:ascii="Times" w:eastAsia="Times" w:hAnsi="Times" w:cs="Times"/>
          <w:color w:val="000000"/>
        </w:rPr>
        <w:t xml:space="preserve"> (continuous values), sFlt-1/PIGF ratio (continuous values), or sFlt-1/</w:t>
      </w:r>
      <w:proofErr w:type="spellStart"/>
      <w:r>
        <w:rPr>
          <w:rFonts w:ascii="Times" w:eastAsia="Times" w:hAnsi="Times" w:cs="Times"/>
          <w:color w:val="000000"/>
        </w:rPr>
        <w:t>PlGF</w:t>
      </w:r>
      <w:proofErr w:type="spellEnd"/>
      <w:r>
        <w:rPr>
          <w:rFonts w:ascii="Times" w:eastAsia="Times" w:hAnsi="Times" w:cs="Times"/>
          <w:color w:val="000000"/>
        </w:rPr>
        <w:t xml:space="preserve"> ratio as a binary cut-off of 38. </w:t>
      </w:r>
    </w:p>
    <w:p w14:paraId="0AD55B42" w14:textId="77777777" w:rsidR="002D3616" w:rsidRDefault="002D3616">
      <w:pPr>
        <w:pBdr>
          <w:top w:val="nil"/>
          <w:left w:val="nil"/>
          <w:bottom w:val="nil"/>
          <w:right w:val="nil"/>
          <w:between w:val="nil"/>
        </w:pBdr>
        <w:spacing w:line="480" w:lineRule="auto"/>
        <w:ind w:left="90"/>
        <w:jc w:val="both"/>
        <w:rPr>
          <w:rFonts w:ascii="Times" w:eastAsia="Times" w:hAnsi="Times" w:cs="Times"/>
          <w:b/>
          <w:color w:val="000000"/>
        </w:rPr>
      </w:pPr>
      <w:bookmarkStart w:id="7" w:name="_heading=h.3dy6vkm" w:colFirst="0" w:colLast="0"/>
      <w:bookmarkEnd w:id="7"/>
    </w:p>
    <w:p w14:paraId="361AA687" w14:textId="77777777" w:rsidR="002D3616" w:rsidRDefault="003470FA">
      <w:pPr>
        <w:pBdr>
          <w:top w:val="nil"/>
          <w:left w:val="nil"/>
          <w:bottom w:val="nil"/>
          <w:right w:val="nil"/>
          <w:between w:val="nil"/>
        </w:pBdr>
        <w:spacing w:line="480" w:lineRule="auto"/>
        <w:jc w:val="both"/>
        <w:rPr>
          <w:rFonts w:ascii="Times" w:eastAsia="Times" w:hAnsi="Times" w:cs="Times"/>
          <w:b/>
          <w:color w:val="000000"/>
        </w:rPr>
      </w:pPr>
      <w:r>
        <w:rPr>
          <w:rFonts w:ascii="Times" w:eastAsia="Times" w:hAnsi="Times" w:cs="Times"/>
          <w:b/>
          <w:color w:val="000000"/>
        </w:rPr>
        <w:t xml:space="preserve">Sample size assessment for the development of a prognostic model </w:t>
      </w:r>
    </w:p>
    <w:p w14:paraId="377361AF" w14:textId="77777777" w:rsidR="002D3616" w:rsidRDefault="003470FA">
      <w:pPr>
        <w:spacing w:line="480" w:lineRule="auto"/>
        <w:jc w:val="both"/>
        <w:rPr>
          <w:rFonts w:ascii="Times" w:eastAsia="Times" w:hAnsi="Times" w:cs="Times"/>
          <w:color w:val="000000"/>
        </w:rPr>
      </w:pPr>
      <w:bookmarkStart w:id="8" w:name="_heading=h.1t3h5sf" w:colFirst="0" w:colLast="0"/>
      <w:bookmarkEnd w:id="8"/>
      <w:r>
        <w:rPr>
          <w:rFonts w:ascii="Times" w:eastAsia="Times" w:hAnsi="Times" w:cs="Times"/>
          <w:color w:val="000000"/>
        </w:rPr>
        <w:t xml:space="preserve">The adequacy of sample size was assessed using the </w:t>
      </w:r>
      <w:proofErr w:type="spellStart"/>
      <w:r>
        <w:rPr>
          <w:rFonts w:ascii="Times" w:eastAsia="Times" w:hAnsi="Times" w:cs="Times"/>
          <w:b/>
          <w:i/>
          <w:color w:val="000000"/>
        </w:rPr>
        <w:t>pmsampsize</w:t>
      </w:r>
      <w:proofErr w:type="spellEnd"/>
      <w:r>
        <w:rPr>
          <w:rFonts w:ascii="Times" w:eastAsia="Times" w:hAnsi="Times" w:cs="Times"/>
          <w:color w:val="000000"/>
        </w:rPr>
        <w:t xml:space="preserve"> library in R program as recommended by Riley et al. </w:t>
      </w:r>
      <w:r>
        <w:rPr>
          <w:rFonts w:ascii="Times" w:eastAsia="Times" w:hAnsi="Times" w:cs="Times"/>
          <w:color w:val="000000"/>
          <w:vertAlign w:val="superscript"/>
        </w:rPr>
        <w:t>22</w:t>
      </w:r>
      <w:r>
        <w:rPr>
          <w:rFonts w:ascii="Times" w:eastAsia="Times" w:hAnsi="Times" w:cs="Times"/>
          <w:color w:val="000000"/>
        </w:rPr>
        <w:t>. The minimum events per parameter required for reliably developing a new model that achieved the desired shrinkage factor, R</w:t>
      </w:r>
      <w:r>
        <w:rPr>
          <w:rFonts w:ascii="Times" w:eastAsia="Times" w:hAnsi="Times" w:cs="Times"/>
          <w:color w:val="000000"/>
          <w:vertAlign w:val="superscript"/>
        </w:rPr>
        <w:t>2</w:t>
      </w:r>
      <w:r>
        <w:rPr>
          <w:rFonts w:ascii="Times" w:eastAsia="Times" w:hAnsi="Times" w:cs="Times"/>
          <w:color w:val="000000"/>
        </w:rPr>
        <w:t xml:space="preserve">, and margin of </w:t>
      </w:r>
      <w:r>
        <w:rPr>
          <w:rFonts w:ascii="Times" w:eastAsia="Times" w:hAnsi="Times" w:cs="Times"/>
          <w:color w:val="000000"/>
        </w:rPr>
        <w:lastRenderedPageBreak/>
        <w:t xml:space="preserve">difference was ~10 events per variable. Therefore, with 42 outcome events, ~3-4 variables could be used for model development. </w:t>
      </w:r>
    </w:p>
    <w:p w14:paraId="60774BD7" w14:textId="77777777" w:rsidR="002D3616" w:rsidRDefault="002D3616">
      <w:pPr>
        <w:spacing w:line="480" w:lineRule="auto"/>
        <w:jc w:val="both"/>
        <w:rPr>
          <w:rFonts w:ascii="Times" w:eastAsia="Times" w:hAnsi="Times" w:cs="Times"/>
          <w:color w:val="000000"/>
        </w:rPr>
      </w:pPr>
    </w:p>
    <w:p w14:paraId="5BA56C11" w14:textId="77777777" w:rsidR="002D3616" w:rsidRDefault="002D3616">
      <w:pPr>
        <w:spacing w:line="480" w:lineRule="auto"/>
        <w:jc w:val="both"/>
        <w:rPr>
          <w:rFonts w:ascii="Times" w:eastAsia="Times" w:hAnsi="Times" w:cs="Times"/>
          <w:color w:val="000000"/>
        </w:rPr>
      </w:pPr>
    </w:p>
    <w:p w14:paraId="742FB6C4" w14:textId="77777777" w:rsidR="002D3616" w:rsidRDefault="003470FA">
      <w:pPr>
        <w:spacing w:after="160" w:line="480" w:lineRule="auto"/>
        <w:jc w:val="both"/>
        <w:rPr>
          <w:rFonts w:ascii="Times" w:eastAsia="Times" w:hAnsi="Times" w:cs="Times"/>
          <w:b/>
          <w:color w:val="000000"/>
        </w:rPr>
      </w:pPr>
      <w:r>
        <w:rPr>
          <w:rFonts w:ascii="Times" w:eastAsia="Times" w:hAnsi="Times" w:cs="Times"/>
          <w:b/>
          <w:color w:val="000000"/>
        </w:rPr>
        <w:t>Multivariable model building</w:t>
      </w:r>
    </w:p>
    <w:p w14:paraId="6583814D"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Four multivariable logistic regression models were constructed for the three biomarkers (sFlt-1, </w:t>
      </w:r>
      <w:proofErr w:type="spellStart"/>
      <w:r>
        <w:rPr>
          <w:rFonts w:ascii="Times" w:eastAsia="Times" w:hAnsi="Times" w:cs="Times"/>
          <w:color w:val="000000"/>
        </w:rPr>
        <w:t>PlGF</w:t>
      </w:r>
      <w:proofErr w:type="spellEnd"/>
      <w:r>
        <w:rPr>
          <w:rFonts w:ascii="Times" w:eastAsia="Times" w:hAnsi="Times" w:cs="Times"/>
          <w:color w:val="000000"/>
        </w:rPr>
        <w:t>, sFlt-1/</w:t>
      </w:r>
      <w:proofErr w:type="spellStart"/>
      <w:r>
        <w:rPr>
          <w:rFonts w:ascii="Times" w:eastAsia="Times" w:hAnsi="Times" w:cs="Times"/>
          <w:color w:val="000000"/>
        </w:rPr>
        <w:t>PlGF</w:t>
      </w:r>
      <w:proofErr w:type="spellEnd"/>
      <w:r>
        <w:rPr>
          <w:rFonts w:ascii="Times" w:eastAsia="Times" w:hAnsi="Times" w:cs="Times"/>
          <w:color w:val="000000"/>
        </w:rPr>
        <w:t xml:space="preserve"> ratio as continuous, and sFlt-1/</w:t>
      </w:r>
      <w:proofErr w:type="spellStart"/>
      <w:r>
        <w:rPr>
          <w:rFonts w:ascii="Times" w:eastAsia="Times" w:hAnsi="Times" w:cs="Times"/>
          <w:color w:val="000000"/>
        </w:rPr>
        <w:t>PlGF</w:t>
      </w:r>
      <w:proofErr w:type="spellEnd"/>
      <w:r>
        <w:rPr>
          <w:rFonts w:ascii="Times" w:eastAsia="Times" w:hAnsi="Times" w:cs="Times"/>
          <w:color w:val="000000"/>
        </w:rPr>
        <w:t xml:space="preserve"> ratio cut off at 38). All four models were adjusted for trial arm  </w:t>
      </w:r>
      <w:r>
        <w:rPr>
          <w:rFonts w:ascii="Times" w:eastAsia="Times" w:hAnsi="Times" w:cs="Times"/>
          <w:color w:val="000000"/>
          <w:vertAlign w:val="superscript"/>
        </w:rPr>
        <w:t>23</w:t>
      </w:r>
      <w:r>
        <w:rPr>
          <w:rFonts w:ascii="Times" w:eastAsia="Times" w:hAnsi="Times" w:cs="Times"/>
          <w:color w:val="000000"/>
        </w:rPr>
        <w:t xml:space="preserve">. Natural log transformation was carried out for continuous values of sFlt-1, </w:t>
      </w:r>
      <w:proofErr w:type="spellStart"/>
      <w:r>
        <w:rPr>
          <w:rFonts w:ascii="Times" w:eastAsia="Times" w:hAnsi="Times" w:cs="Times"/>
          <w:color w:val="000000"/>
        </w:rPr>
        <w:t>PlGF</w:t>
      </w:r>
      <w:proofErr w:type="spellEnd"/>
      <w:r>
        <w:rPr>
          <w:rFonts w:ascii="Times" w:eastAsia="Times" w:hAnsi="Times" w:cs="Times"/>
          <w:color w:val="000000"/>
        </w:rPr>
        <w:t xml:space="preserve"> and sFlt-1/</w:t>
      </w:r>
      <w:proofErr w:type="spellStart"/>
      <w:r>
        <w:rPr>
          <w:rFonts w:ascii="Times" w:eastAsia="Times" w:hAnsi="Times" w:cs="Times"/>
          <w:color w:val="000000"/>
        </w:rPr>
        <w:t>PlGF</w:t>
      </w:r>
      <w:proofErr w:type="spellEnd"/>
      <w:r>
        <w:rPr>
          <w:rFonts w:ascii="Times" w:eastAsia="Times" w:hAnsi="Times" w:cs="Times"/>
          <w:color w:val="000000"/>
        </w:rPr>
        <w:t xml:space="preserve"> ratio. The sFlt-1/</w:t>
      </w:r>
      <w:proofErr w:type="spellStart"/>
      <w:r>
        <w:rPr>
          <w:rFonts w:ascii="Times" w:eastAsia="Times" w:hAnsi="Times" w:cs="Times"/>
          <w:color w:val="000000"/>
        </w:rPr>
        <w:t>PlGF</w:t>
      </w:r>
      <w:proofErr w:type="spellEnd"/>
      <w:r>
        <w:rPr>
          <w:rFonts w:ascii="Times" w:eastAsia="Times" w:hAnsi="Times" w:cs="Times"/>
          <w:color w:val="000000"/>
        </w:rPr>
        <w:t xml:space="preserve"> cut-off used was 38 since it is commonly used by many studies including the INSPIRE trial </w:t>
      </w:r>
      <w:r>
        <w:rPr>
          <w:rFonts w:ascii="Times" w:eastAsia="Times" w:hAnsi="Times" w:cs="Times"/>
          <w:color w:val="000000"/>
          <w:vertAlign w:val="superscript"/>
        </w:rPr>
        <w:t>24</w:t>
      </w:r>
      <w:r>
        <w:rPr>
          <w:rFonts w:ascii="Times" w:eastAsia="Times" w:hAnsi="Times" w:cs="Times"/>
          <w:color w:val="000000"/>
        </w:rPr>
        <w:t xml:space="preserve">. The multivariable logistic regression model assumed the log-odds of PE were linearly associated with the biomarkers. This assumption was formally tested using fractional polynomial transformations. Models were compared using the likelihood ratio test and Bayesian Information Criterion. </w:t>
      </w:r>
    </w:p>
    <w:p w14:paraId="010449CF" w14:textId="77777777" w:rsidR="002D3616" w:rsidRDefault="003470FA">
      <w:pPr>
        <w:pBdr>
          <w:top w:val="nil"/>
          <w:left w:val="nil"/>
          <w:bottom w:val="nil"/>
          <w:right w:val="nil"/>
          <w:between w:val="nil"/>
        </w:pBdr>
        <w:spacing w:before="240" w:line="480" w:lineRule="auto"/>
        <w:jc w:val="both"/>
        <w:rPr>
          <w:rFonts w:ascii="Times" w:eastAsia="Times" w:hAnsi="Times" w:cs="Times"/>
          <w:b/>
          <w:color w:val="000000"/>
        </w:rPr>
      </w:pPr>
      <w:bookmarkStart w:id="9" w:name="_heading=h.4d34og8" w:colFirst="0" w:colLast="0"/>
      <w:bookmarkEnd w:id="9"/>
      <w:r>
        <w:rPr>
          <w:rFonts w:ascii="Times" w:eastAsia="Times" w:hAnsi="Times" w:cs="Times"/>
          <w:b/>
          <w:color w:val="000000"/>
        </w:rPr>
        <w:t>Model performance and internal validation</w:t>
      </w:r>
    </w:p>
    <w:p w14:paraId="1C902DB8"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The predictive performances of the four developed models were assessed using calibration and discrimination. Model calibration was assessed by calibration-in-the-large (CITL) and calibration slope whereas model discrimination was assessed by Harrell’s concordance statistic (c-statistic) </w:t>
      </w:r>
      <w:r>
        <w:rPr>
          <w:rFonts w:ascii="Times" w:eastAsia="Times" w:hAnsi="Times" w:cs="Times"/>
          <w:color w:val="000000"/>
          <w:vertAlign w:val="superscript"/>
        </w:rPr>
        <w:t>25</w:t>
      </w:r>
      <w:r>
        <w:rPr>
          <w:rFonts w:ascii="Times" w:eastAsia="Times" w:hAnsi="Times" w:cs="Times"/>
          <w:color w:val="000000"/>
        </w:rPr>
        <w:t>. Overall model fit was assessed using Pseudo (</w:t>
      </w:r>
      <w:proofErr w:type="spellStart"/>
      <w:r>
        <w:rPr>
          <w:rFonts w:ascii="Times" w:eastAsia="Times" w:hAnsi="Times" w:cs="Times"/>
          <w:color w:val="000000"/>
        </w:rPr>
        <w:t>Nagelkerke's</w:t>
      </w:r>
      <w:proofErr w:type="spellEnd"/>
      <w:r>
        <w:rPr>
          <w:rFonts w:ascii="Times" w:eastAsia="Times" w:hAnsi="Times" w:cs="Times"/>
          <w:color w:val="000000"/>
        </w:rPr>
        <w:t>) R</w:t>
      </w:r>
      <w:r>
        <w:rPr>
          <w:rFonts w:ascii="Times" w:eastAsia="Times" w:hAnsi="Times" w:cs="Times"/>
          <w:color w:val="000000"/>
          <w:vertAlign w:val="superscript"/>
        </w:rPr>
        <w:t>2</w:t>
      </w:r>
      <w:r>
        <w:rPr>
          <w:rFonts w:ascii="Times" w:eastAsia="Times" w:hAnsi="Times" w:cs="Times"/>
          <w:color w:val="000000"/>
        </w:rPr>
        <w:t xml:space="preserve"> and Bayesian Information Criterion</w:t>
      </w:r>
      <w:r>
        <w:rPr>
          <w:rFonts w:ascii="Times" w:eastAsia="Times" w:hAnsi="Times" w:cs="Times"/>
          <w:color w:val="000000"/>
          <w:highlight w:val="white"/>
        </w:rPr>
        <w:t xml:space="preserve"> (BIC) </w:t>
      </w:r>
      <w:r>
        <w:rPr>
          <w:rFonts w:ascii="Times" w:eastAsia="Times" w:hAnsi="Times" w:cs="Times"/>
          <w:color w:val="000000"/>
          <w:vertAlign w:val="superscript"/>
        </w:rPr>
        <w:t>25</w:t>
      </w:r>
      <w:r>
        <w:rPr>
          <w:rFonts w:ascii="Times" w:eastAsia="Times" w:hAnsi="Times" w:cs="Times"/>
          <w:color w:val="000000"/>
        </w:rPr>
        <w:t>. The apparent performance measures (model fit performance in the development data) were adjusted for optimism using bootstrapping by drawing 1,000 resamples from the original dataset and calculating adjusted measures of concordance statistic (calculated from the</w:t>
      </w:r>
      <w:r>
        <w:rPr>
          <w:rFonts w:ascii="Times" w:eastAsia="Times" w:hAnsi="Times" w:cs="Times"/>
          <w:color w:val="000000"/>
          <w:highlight w:val="white"/>
        </w:rPr>
        <w:t xml:space="preserve"> </w:t>
      </w:r>
      <w:r>
        <w:rPr>
          <w:rFonts w:ascii="Times" w:eastAsia="Times" w:hAnsi="Times" w:cs="Times"/>
          <w:color w:val="000000"/>
        </w:rPr>
        <w:t xml:space="preserve">Somers' D rank correlation value) </w:t>
      </w:r>
      <w:r>
        <w:rPr>
          <w:rFonts w:ascii="Times" w:eastAsia="Times" w:hAnsi="Times" w:cs="Times"/>
          <w:color w:val="000000"/>
          <w:vertAlign w:val="superscript"/>
        </w:rPr>
        <w:t>22</w:t>
      </w:r>
      <w:r>
        <w:rPr>
          <w:rFonts w:ascii="Times" w:eastAsia="Times" w:hAnsi="Times" w:cs="Times"/>
          <w:color w:val="000000"/>
        </w:rPr>
        <w:t xml:space="preserve">, calibration slope and calibration-in-the-large. Adjusted coefficients were corrected for optimism using the uniform shrinkage factor i.e., the calibration slope obtained from bootstrapping. The intercept of the optimism-adjusted </w:t>
      </w:r>
      <w:r>
        <w:rPr>
          <w:rFonts w:ascii="Times" w:eastAsia="Times" w:hAnsi="Times" w:cs="Times"/>
          <w:color w:val="000000"/>
        </w:rPr>
        <w:lastRenderedPageBreak/>
        <w:t xml:space="preserve">model was also re-estimated to maintain the overall calibration. The transparent reporting of a multivariable prediction model for individual prognosis or diagnosis (TRIPOD) guideline was used for model development and reporting </w:t>
      </w:r>
      <w:r>
        <w:rPr>
          <w:rFonts w:ascii="Times" w:eastAsia="Times" w:hAnsi="Times" w:cs="Times"/>
          <w:color w:val="000000"/>
          <w:vertAlign w:val="superscript"/>
        </w:rPr>
        <w:t>26</w:t>
      </w:r>
      <w:r>
        <w:rPr>
          <w:rFonts w:ascii="Times" w:eastAsia="Times" w:hAnsi="Times" w:cs="Times"/>
          <w:color w:val="000000"/>
        </w:rPr>
        <w:t xml:space="preserve"> </w:t>
      </w:r>
      <w:r>
        <w:rPr>
          <w:rFonts w:ascii="Times" w:eastAsia="Times" w:hAnsi="Times" w:cs="Times"/>
          <w:color w:val="000000"/>
          <w:vertAlign w:val="superscript"/>
        </w:rPr>
        <w:t>27</w:t>
      </w:r>
      <w:r>
        <w:rPr>
          <w:rFonts w:ascii="Times" w:eastAsia="Times" w:hAnsi="Times" w:cs="Times"/>
          <w:color w:val="000000"/>
        </w:rPr>
        <w:t xml:space="preserve">. </w:t>
      </w:r>
      <w:r>
        <w:br w:type="page"/>
      </w:r>
    </w:p>
    <w:p w14:paraId="6236A311" w14:textId="77777777" w:rsidR="002D3616" w:rsidRDefault="003470FA">
      <w:pPr>
        <w:pBdr>
          <w:top w:val="nil"/>
          <w:left w:val="nil"/>
          <w:bottom w:val="nil"/>
          <w:right w:val="nil"/>
          <w:between w:val="nil"/>
        </w:pBdr>
        <w:shd w:val="clear" w:color="auto" w:fill="FFFFFF"/>
        <w:spacing w:before="240" w:line="480" w:lineRule="auto"/>
        <w:ind w:left="360" w:hanging="360"/>
        <w:jc w:val="both"/>
        <w:rPr>
          <w:rFonts w:ascii="Times" w:eastAsia="Times" w:hAnsi="Times" w:cs="Times"/>
          <w:b/>
          <w:color w:val="000000"/>
        </w:rPr>
      </w:pPr>
      <w:bookmarkStart w:id="10" w:name="_heading=h.2s8eyo1" w:colFirst="0" w:colLast="0"/>
      <w:bookmarkEnd w:id="10"/>
      <w:r>
        <w:rPr>
          <w:rFonts w:ascii="Times" w:eastAsia="Times" w:hAnsi="Times" w:cs="Times"/>
          <w:b/>
          <w:color w:val="000000"/>
        </w:rPr>
        <w:lastRenderedPageBreak/>
        <w:t>Results</w:t>
      </w:r>
    </w:p>
    <w:p w14:paraId="651AA37F" w14:textId="77777777" w:rsidR="002D3616" w:rsidRDefault="003470FA">
      <w:pPr>
        <w:pBdr>
          <w:top w:val="nil"/>
          <w:left w:val="nil"/>
          <w:bottom w:val="nil"/>
          <w:right w:val="nil"/>
          <w:between w:val="nil"/>
        </w:pBdr>
        <w:shd w:val="clear" w:color="auto" w:fill="FFFFFF"/>
        <w:spacing w:before="240" w:line="480" w:lineRule="auto"/>
        <w:ind w:left="360" w:hanging="360"/>
        <w:jc w:val="both"/>
        <w:rPr>
          <w:rFonts w:ascii="Times" w:eastAsia="Times" w:hAnsi="Times" w:cs="Times"/>
          <w:b/>
          <w:color w:val="000000"/>
        </w:rPr>
      </w:pPr>
      <w:r>
        <w:rPr>
          <w:rFonts w:ascii="Times" w:eastAsia="Times" w:hAnsi="Times" w:cs="Times"/>
          <w:b/>
          <w:color w:val="000000"/>
        </w:rPr>
        <w:t xml:space="preserve">Baseline characteristics of the study population </w:t>
      </w:r>
    </w:p>
    <w:p w14:paraId="49FF18E7"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There were 370 study participants of whom 42 (11.3%) were diagnosed with preeclampsia within 7 days of taking the screening test. Baseline characteristics for women with and without PE were similar except for gestational age at recruitment and parity (Table 1). The distributions for PIGF, sFlt-1, and the ratio sFlt-1/PIGF were skewed and therefore were transformed using natural logarithms.</w:t>
      </w:r>
    </w:p>
    <w:p w14:paraId="5A6B209F" w14:textId="77777777" w:rsidR="002D3616" w:rsidRDefault="002D3616">
      <w:pPr>
        <w:spacing w:line="480" w:lineRule="auto"/>
        <w:jc w:val="both"/>
        <w:rPr>
          <w:rFonts w:ascii="Times" w:eastAsia="Times" w:hAnsi="Times" w:cs="Times"/>
          <w:color w:val="000000"/>
        </w:rPr>
      </w:pPr>
    </w:p>
    <w:p w14:paraId="5ACF5145" w14:textId="77777777" w:rsidR="002D3616" w:rsidRDefault="003470FA">
      <w:pPr>
        <w:spacing w:line="480" w:lineRule="auto"/>
        <w:jc w:val="both"/>
      </w:pPr>
      <w:r>
        <w:rPr>
          <w:rFonts w:ascii="Times" w:eastAsia="Times" w:hAnsi="Times" w:cs="Times"/>
          <w:color w:val="000000"/>
        </w:rPr>
        <w:t xml:space="preserve">The median ln(PIGF) was higher among non-preeclamptic women (median: 2.40 </w:t>
      </w:r>
      <w:proofErr w:type="spellStart"/>
      <w:r>
        <w:rPr>
          <w:rFonts w:ascii="Times" w:eastAsia="Times" w:hAnsi="Times" w:cs="Times"/>
          <w:color w:val="000000"/>
        </w:rPr>
        <w:t>pg</w:t>
      </w:r>
      <w:proofErr w:type="spellEnd"/>
      <w:r>
        <w:rPr>
          <w:rFonts w:ascii="Times" w:eastAsia="Times" w:hAnsi="Times" w:cs="Times"/>
          <w:color w:val="000000"/>
        </w:rPr>
        <w:t xml:space="preserve">/mL; interquartile range (IQR): 2.17 </w:t>
      </w:r>
      <w:proofErr w:type="spellStart"/>
      <w:r>
        <w:rPr>
          <w:rFonts w:ascii="Times" w:eastAsia="Times" w:hAnsi="Times" w:cs="Times"/>
          <w:color w:val="000000"/>
        </w:rPr>
        <w:t>pg</w:t>
      </w:r>
      <w:proofErr w:type="spellEnd"/>
      <w:r>
        <w:rPr>
          <w:rFonts w:ascii="Times" w:eastAsia="Times" w:hAnsi="Times" w:cs="Times"/>
          <w:color w:val="000000"/>
        </w:rPr>
        <w:t xml:space="preserve">/mL–2.73 </w:t>
      </w:r>
      <w:proofErr w:type="spellStart"/>
      <w:r>
        <w:rPr>
          <w:rFonts w:ascii="Times" w:eastAsia="Times" w:hAnsi="Times" w:cs="Times"/>
          <w:color w:val="000000"/>
        </w:rPr>
        <w:t>pg</w:t>
      </w:r>
      <w:proofErr w:type="spellEnd"/>
      <w:r>
        <w:rPr>
          <w:rFonts w:ascii="Times" w:eastAsia="Times" w:hAnsi="Times" w:cs="Times"/>
          <w:color w:val="000000"/>
        </w:rPr>
        <w:t xml:space="preserve">/mL) compared to preeclamptic women (median: 1.87 </w:t>
      </w:r>
      <w:proofErr w:type="spellStart"/>
      <w:r>
        <w:rPr>
          <w:rFonts w:ascii="Times" w:eastAsia="Times" w:hAnsi="Times" w:cs="Times"/>
          <w:color w:val="000000"/>
        </w:rPr>
        <w:t>pg</w:t>
      </w:r>
      <w:proofErr w:type="spellEnd"/>
      <w:r>
        <w:rPr>
          <w:rFonts w:ascii="Times" w:eastAsia="Times" w:hAnsi="Times" w:cs="Times"/>
          <w:color w:val="000000"/>
        </w:rPr>
        <w:t xml:space="preserve">/mL; IQR: 1.72 </w:t>
      </w:r>
      <w:proofErr w:type="spellStart"/>
      <w:r>
        <w:rPr>
          <w:rFonts w:ascii="Times" w:eastAsia="Times" w:hAnsi="Times" w:cs="Times"/>
          <w:color w:val="000000"/>
        </w:rPr>
        <w:t>pg</w:t>
      </w:r>
      <w:proofErr w:type="spellEnd"/>
      <w:r>
        <w:rPr>
          <w:rFonts w:ascii="Times" w:eastAsia="Times" w:hAnsi="Times" w:cs="Times"/>
          <w:color w:val="000000"/>
        </w:rPr>
        <w:t xml:space="preserve">/mL – 2.07 </w:t>
      </w:r>
      <w:proofErr w:type="spellStart"/>
      <w:r>
        <w:rPr>
          <w:rFonts w:ascii="Times" w:eastAsia="Times" w:hAnsi="Times" w:cs="Times"/>
          <w:color w:val="000000"/>
        </w:rPr>
        <w:t>pg</w:t>
      </w:r>
      <w:proofErr w:type="spellEnd"/>
      <w:r>
        <w:rPr>
          <w:rFonts w:ascii="Times" w:eastAsia="Times" w:hAnsi="Times" w:cs="Times"/>
          <w:color w:val="000000"/>
        </w:rPr>
        <w:t xml:space="preserve">/mL). The median ln(sFlt-1) for women without PE was 3.38 </w:t>
      </w:r>
      <w:proofErr w:type="spellStart"/>
      <w:r>
        <w:rPr>
          <w:rFonts w:ascii="Times" w:eastAsia="Times" w:hAnsi="Times" w:cs="Times"/>
          <w:color w:val="000000"/>
        </w:rPr>
        <w:t>pg</w:t>
      </w:r>
      <w:proofErr w:type="spellEnd"/>
      <w:r>
        <w:rPr>
          <w:rFonts w:ascii="Times" w:eastAsia="Times" w:hAnsi="Times" w:cs="Times"/>
          <w:color w:val="000000"/>
        </w:rPr>
        <w:t xml:space="preserve">/mL (IQR: 3.18 </w:t>
      </w:r>
      <w:proofErr w:type="spellStart"/>
      <w:r>
        <w:rPr>
          <w:rFonts w:ascii="Times" w:eastAsia="Times" w:hAnsi="Times" w:cs="Times"/>
          <w:color w:val="000000"/>
        </w:rPr>
        <w:t>pg</w:t>
      </w:r>
      <w:proofErr w:type="spellEnd"/>
      <w:r>
        <w:rPr>
          <w:rFonts w:ascii="Times" w:eastAsia="Times" w:hAnsi="Times" w:cs="Times"/>
          <w:color w:val="000000"/>
        </w:rPr>
        <w:t xml:space="preserve">/mL – 3.61 </w:t>
      </w:r>
      <w:proofErr w:type="spellStart"/>
      <w:r>
        <w:rPr>
          <w:rFonts w:ascii="Times" w:eastAsia="Times" w:hAnsi="Times" w:cs="Times"/>
          <w:color w:val="000000"/>
        </w:rPr>
        <w:t>pg</w:t>
      </w:r>
      <w:proofErr w:type="spellEnd"/>
      <w:r>
        <w:rPr>
          <w:rFonts w:ascii="Times" w:eastAsia="Times" w:hAnsi="Times" w:cs="Times"/>
          <w:color w:val="000000"/>
        </w:rPr>
        <w:t xml:space="preserve">/mL) compared to 4.03 </w:t>
      </w:r>
      <w:proofErr w:type="spellStart"/>
      <w:r>
        <w:rPr>
          <w:rFonts w:ascii="Times" w:eastAsia="Times" w:hAnsi="Times" w:cs="Times"/>
          <w:color w:val="000000"/>
        </w:rPr>
        <w:t>pg</w:t>
      </w:r>
      <w:proofErr w:type="spellEnd"/>
      <w:r>
        <w:rPr>
          <w:rFonts w:ascii="Times" w:eastAsia="Times" w:hAnsi="Times" w:cs="Times"/>
          <w:color w:val="000000"/>
        </w:rPr>
        <w:t xml:space="preserve">/mL (IQR: 3.38 </w:t>
      </w:r>
      <w:proofErr w:type="spellStart"/>
      <w:r>
        <w:rPr>
          <w:rFonts w:ascii="Times" w:eastAsia="Times" w:hAnsi="Times" w:cs="Times"/>
          <w:color w:val="000000"/>
        </w:rPr>
        <w:t>pg</w:t>
      </w:r>
      <w:proofErr w:type="spellEnd"/>
      <w:r>
        <w:rPr>
          <w:rFonts w:ascii="Times" w:eastAsia="Times" w:hAnsi="Times" w:cs="Times"/>
          <w:color w:val="000000"/>
        </w:rPr>
        <w:t xml:space="preserve">/mL – 4.15 </w:t>
      </w:r>
      <w:proofErr w:type="spellStart"/>
      <w:r>
        <w:rPr>
          <w:rFonts w:ascii="Times" w:eastAsia="Times" w:hAnsi="Times" w:cs="Times"/>
          <w:color w:val="000000"/>
        </w:rPr>
        <w:t>pg</w:t>
      </w:r>
      <w:proofErr w:type="spellEnd"/>
      <w:r>
        <w:rPr>
          <w:rFonts w:ascii="Times" w:eastAsia="Times" w:hAnsi="Times" w:cs="Times"/>
          <w:color w:val="000000"/>
        </w:rPr>
        <w:t>/mL) for preeclamptic women.  Similarly, for ln(sFlt-1/PIGF) ratio, the median was 0.89 (IQR: 0.56 – 1.44) among non-preeclamptic women compared to 2.11 (IQR: 1.82 – 2.35) for preeclamptic women. The sFlt-1/PIGF ratio values ≤ 38 were present in 78% of women without PE while 21.9 % of women without PE had sFlt-1/PIGF cu</w:t>
      </w:r>
      <w:r>
        <w:t>t-off values &gt; 38 compared to 97.6 % in women with PE (Table 1).  The sFlt-1/PIGF ratio values &gt;85 were present in 24 (7.3%) women without PE compared to 29 (69%) women with PE. Considering sFlt-1/</w:t>
      </w:r>
      <w:proofErr w:type="spellStart"/>
      <w:r>
        <w:t>PlGF</w:t>
      </w:r>
      <w:proofErr w:type="spellEnd"/>
      <w:r>
        <w:t xml:space="preserve"> ratio values between 38 to 85, 12 (28.6%) women had PE compared to 48 (14.6%) women without PE (data not shown).  </w:t>
      </w:r>
    </w:p>
    <w:p w14:paraId="5E6DB847" w14:textId="77777777" w:rsidR="002D3616" w:rsidRDefault="002D3616">
      <w:pPr>
        <w:spacing w:line="480" w:lineRule="auto"/>
        <w:jc w:val="both"/>
        <w:rPr>
          <w:color w:val="000000"/>
        </w:rPr>
      </w:pPr>
    </w:p>
    <w:p w14:paraId="3243716E" w14:textId="77777777" w:rsidR="002D3616" w:rsidRDefault="002D3616">
      <w:pPr>
        <w:spacing w:line="480" w:lineRule="auto"/>
        <w:jc w:val="both"/>
        <w:rPr>
          <w:color w:val="000000"/>
        </w:rPr>
      </w:pPr>
    </w:p>
    <w:p w14:paraId="6063698B" w14:textId="77777777" w:rsidR="002D3616" w:rsidRDefault="002D3616">
      <w:pPr>
        <w:spacing w:line="480" w:lineRule="auto"/>
        <w:jc w:val="both"/>
        <w:rPr>
          <w:color w:val="000000"/>
        </w:rPr>
      </w:pPr>
    </w:p>
    <w:p w14:paraId="60D4D881" w14:textId="77777777" w:rsidR="002D3616" w:rsidRDefault="002D3616">
      <w:pPr>
        <w:spacing w:line="480" w:lineRule="auto"/>
        <w:jc w:val="both"/>
        <w:rPr>
          <w:color w:val="000000"/>
        </w:rPr>
      </w:pPr>
    </w:p>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972"/>
        <w:gridCol w:w="2624"/>
        <w:gridCol w:w="2434"/>
      </w:tblGrid>
      <w:tr w:rsidR="00463530" w14:paraId="5DD18660"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1DD3DD32" w14:textId="77777777" w:rsidR="00463530" w:rsidRDefault="00463530">
            <w:pPr>
              <w:spacing w:line="256" w:lineRule="auto"/>
              <w:rPr>
                <w:rFonts w:ascii="Times" w:hAnsi="Times" w:cs="Times"/>
                <w:b/>
                <w:lang w:eastAsia="en-US"/>
              </w:rPr>
            </w:pPr>
            <w:r>
              <w:rPr>
                <w:rFonts w:ascii="Times" w:hAnsi="Times" w:cs="Times"/>
                <w:color w:val="000000"/>
                <w:lang w:eastAsia="en-US"/>
              </w:rPr>
              <w:lastRenderedPageBreak/>
              <w:t>Characteristics</w:t>
            </w:r>
          </w:p>
        </w:tc>
        <w:tc>
          <w:tcPr>
            <w:tcW w:w="2623" w:type="dxa"/>
            <w:tcBorders>
              <w:top w:val="single" w:sz="4" w:space="0" w:color="auto"/>
              <w:left w:val="single" w:sz="4" w:space="0" w:color="auto"/>
              <w:bottom w:val="single" w:sz="4" w:space="0" w:color="auto"/>
              <w:right w:val="single" w:sz="4" w:space="0" w:color="auto"/>
            </w:tcBorders>
            <w:hideMark/>
          </w:tcPr>
          <w:p w14:paraId="63D9825B" w14:textId="77777777" w:rsidR="00463530" w:rsidRDefault="00463530">
            <w:pPr>
              <w:spacing w:line="256" w:lineRule="auto"/>
              <w:jc w:val="center"/>
              <w:rPr>
                <w:rFonts w:ascii="Times" w:hAnsi="Times" w:cs="Times"/>
                <w:color w:val="000000"/>
                <w:lang w:eastAsia="en-US"/>
              </w:rPr>
            </w:pPr>
            <w:r>
              <w:rPr>
                <w:rFonts w:ascii="Times" w:hAnsi="Times" w:cs="Times"/>
                <w:color w:val="000000"/>
                <w:lang w:eastAsia="en-US"/>
              </w:rPr>
              <w:t>No preeclampsia within 7 days (n=328)</w:t>
            </w:r>
          </w:p>
        </w:tc>
        <w:tc>
          <w:tcPr>
            <w:tcW w:w="2433" w:type="dxa"/>
            <w:tcBorders>
              <w:top w:val="single" w:sz="4" w:space="0" w:color="auto"/>
              <w:left w:val="single" w:sz="4" w:space="0" w:color="auto"/>
              <w:bottom w:val="single" w:sz="4" w:space="0" w:color="auto"/>
              <w:right w:val="single" w:sz="4" w:space="0" w:color="auto"/>
            </w:tcBorders>
            <w:hideMark/>
          </w:tcPr>
          <w:p w14:paraId="2A6AC9EE" w14:textId="77777777" w:rsidR="00463530" w:rsidRDefault="00463530">
            <w:pPr>
              <w:spacing w:line="256" w:lineRule="auto"/>
              <w:jc w:val="center"/>
              <w:rPr>
                <w:rFonts w:ascii="Times" w:hAnsi="Times" w:cs="Times"/>
                <w:color w:val="000000"/>
                <w:lang w:eastAsia="en-US"/>
              </w:rPr>
            </w:pPr>
            <w:r>
              <w:rPr>
                <w:rFonts w:ascii="Times" w:hAnsi="Times" w:cs="Times"/>
                <w:color w:val="000000"/>
                <w:lang w:eastAsia="en-US"/>
              </w:rPr>
              <w:t>Preeclampsia within 7 days (n=42)</w:t>
            </w:r>
          </w:p>
        </w:tc>
      </w:tr>
      <w:tr w:rsidR="00463530" w14:paraId="0C42922C"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4A1D05B0" w14:textId="77777777" w:rsidR="00463530" w:rsidRDefault="00463530">
            <w:pPr>
              <w:spacing w:line="256" w:lineRule="auto"/>
              <w:rPr>
                <w:rFonts w:ascii="Times" w:hAnsi="Times" w:cs="Times"/>
                <w:lang w:eastAsia="en-US"/>
              </w:rPr>
            </w:pPr>
            <w:r>
              <w:rPr>
                <w:rFonts w:ascii="Times" w:hAnsi="Times" w:cs="Times"/>
                <w:b/>
                <w:lang w:eastAsia="en-US"/>
              </w:rPr>
              <w:t>Maternal age at recruitment</w:t>
            </w:r>
            <w:r>
              <w:rPr>
                <w:rFonts w:ascii="Times" w:hAnsi="Times" w:cs="Times"/>
                <w:lang w:eastAsia="en-US"/>
              </w:rPr>
              <w:t xml:space="preserve"> (in years), Mean (SD)</w:t>
            </w:r>
          </w:p>
        </w:tc>
        <w:tc>
          <w:tcPr>
            <w:tcW w:w="2623" w:type="dxa"/>
            <w:tcBorders>
              <w:top w:val="single" w:sz="4" w:space="0" w:color="auto"/>
              <w:left w:val="single" w:sz="4" w:space="0" w:color="auto"/>
              <w:bottom w:val="single" w:sz="4" w:space="0" w:color="auto"/>
              <w:right w:val="single" w:sz="4" w:space="0" w:color="auto"/>
            </w:tcBorders>
            <w:hideMark/>
          </w:tcPr>
          <w:p w14:paraId="56701198" w14:textId="77777777" w:rsidR="00463530" w:rsidRDefault="00463530">
            <w:pPr>
              <w:spacing w:line="256" w:lineRule="auto"/>
              <w:jc w:val="center"/>
              <w:rPr>
                <w:rFonts w:ascii="Times" w:hAnsi="Times" w:cs="Times"/>
                <w:lang w:eastAsia="en-US"/>
              </w:rPr>
            </w:pPr>
            <w:r>
              <w:rPr>
                <w:rFonts w:ascii="Times" w:hAnsi="Times" w:cs="Times"/>
                <w:lang w:eastAsia="en-US"/>
              </w:rPr>
              <w:t>31.2 (6.1)</w:t>
            </w:r>
          </w:p>
        </w:tc>
        <w:tc>
          <w:tcPr>
            <w:tcW w:w="2433" w:type="dxa"/>
            <w:tcBorders>
              <w:top w:val="single" w:sz="4" w:space="0" w:color="auto"/>
              <w:left w:val="single" w:sz="4" w:space="0" w:color="auto"/>
              <w:bottom w:val="single" w:sz="4" w:space="0" w:color="auto"/>
              <w:right w:val="single" w:sz="4" w:space="0" w:color="auto"/>
            </w:tcBorders>
            <w:hideMark/>
          </w:tcPr>
          <w:p w14:paraId="245FDA33" w14:textId="77777777" w:rsidR="00463530" w:rsidRDefault="00463530">
            <w:pPr>
              <w:spacing w:line="256" w:lineRule="auto"/>
              <w:jc w:val="center"/>
              <w:rPr>
                <w:rFonts w:ascii="Times" w:hAnsi="Times" w:cs="Times"/>
                <w:lang w:eastAsia="en-US"/>
              </w:rPr>
            </w:pPr>
            <w:r>
              <w:rPr>
                <w:rFonts w:ascii="Times" w:hAnsi="Times" w:cs="Times"/>
                <w:lang w:eastAsia="en-US"/>
              </w:rPr>
              <w:t>31.2 (5.8)</w:t>
            </w:r>
          </w:p>
        </w:tc>
      </w:tr>
      <w:tr w:rsidR="00463530" w14:paraId="134ED37B"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70EE6BF0" w14:textId="77777777" w:rsidR="00463530" w:rsidRDefault="00463530">
            <w:pPr>
              <w:spacing w:line="256" w:lineRule="auto"/>
              <w:rPr>
                <w:rFonts w:ascii="Times" w:hAnsi="Times" w:cs="Times"/>
                <w:lang w:eastAsia="en-US"/>
              </w:rPr>
            </w:pPr>
            <w:r>
              <w:rPr>
                <w:rFonts w:ascii="Times" w:hAnsi="Times" w:cs="Times"/>
                <w:b/>
                <w:lang w:eastAsia="en-US"/>
              </w:rPr>
              <w:t>Gestational age</w:t>
            </w:r>
            <w:r>
              <w:rPr>
                <w:rFonts w:ascii="Times" w:hAnsi="Times" w:cs="Times"/>
                <w:lang w:eastAsia="en-US"/>
              </w:rPr>
              <w:t xml:space="preserve"> (in weeks), Median (IQR)</w:t>
            </w:r>
          </w:p>
        </w:tc>
        <w:tc>
          <w:tcPr>
            <w:tcW w:w="2623" w:type="dxa"/>
            <w:tcBorders>
              <w:top w:val="single" w:sz="4" w:space="0" w:color="auto"/>
              <w:left w:val="single" w:sz="4" w:space="0" w:color="auto"/>
              <w:bottom w:val="single" w:sz="4" w:space="0" w:color="auto"/>
              <w:right w:val="single" w:sz="4" w:space="0" w:color="auto"/>
            </w:tcBorders>
            <w:hideMark/>
          </w:tcPr>
          <w:p w14:paraId="05AFBABF" w14:textId="77777777" w:rsidR="00463530" w:rsidRDefault="00463530">
            <w:pPr>
              <w:spacing w:line="256" w:lineRule="auto"/>
              <w:jc w:val="center"/>
              <w:rPr>
                <w:rFonts w:ascii="Times" w:hAnsi="Times" w:cs="Times"/>
                <w:lang w:eastAsia="en-US"/>
              </w:rPr>
            </w:pPr>
            <w:r>
              <w:rPr>
                <w:rFonts w:ascii="Times" w:hAnsi="Times" w:cs="Times"/>
                <w:lang w:eastAsia="en-US"/>
              </w:rPr>
              <w:t>34.1 (31.1 - 35.9)</w:t>
            </w:r>
          </w:p>
        </w:tc>
        <w:tc>
          <w:tcPr>
            <w:tcW w:w="2433" w:type="dxa"/>
            <w:tcBorders>
              <w:top w:val="single" w:sz="4" w:space="0" w:color="auto"/>
              <w:left w:val="single" w:sz="4" w:space="0" w:color="auto"/>
              <w:bottom w:val="single" w:sz="4" w:space="0" w:color="auto"/>
              <w:right w:val="single" w:sz="4" w:space="0" w:color="auto"/>
            </w:tcBorders>
            <w:hideMark/>
          </w:tcPr>
          <w:p w14:paraId="419BDBDF" w14:textId="77777777" w:rsidR="00463530" w:rsidRDefault="00463530">
            <w:pPr>
              <w:spacing w:line="256" w:lineRule="auto"/>
              <w:jc w:val="center"/>
              <w:rPr>
                <w:rFonts w:ascii="Times" w:hAnsi="Times" w:cs="Times"/>
                <w:lang w:eastAsia="en-US"/>
              </w:rPr>
            </w:pPr>
            <w:r>
              <w:rPr>
                <w:rFonts w:ascii="Times" w:hAnsi="Times" w:cs="Times"/>
                <w:lang w:eastAsia="en-US"/>
              </w:rPr>
              <w:t>35.3 (33.4 - 36.1)</w:t>
            </w:r>
          </w:p>
        </w:tc>
      </w:tr>
      <w:tr w:rsidR="00463530" w14:paraId="5207C4D4"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5213C483" w14:textId="77777777" w:rsidR="00463530" w:rsidRDefault="00463530">
            <w:pPr>
              <w:spacing w:line="256" w:lineRule="auto"/>
              <w:rPr>
                <w:rFonts w:ascii="Times" w:hAnsi="Times" w:cs="Times"/>
                <w:lang w:eastAsia="en-US"/>
              </w:rPr>
            </w:pPr>
            <w:r>
              <w:rPr>
                <w:rFonts w:ascii="Times" w:hAnsi="Times" w:cs="Times"/>
                <w:b/>
                <w:lang w:eastAsia="en-US"/>
              </w:rPr>
              <w:t>BMI</w:t>
            </w:r>
            <w:r>
              <w:rPr>
                <w:rFonts w:ascii="Times" w:hAnsi="Times" w:cs="Times"/>
                <w:lang w:eastAsia="en-US"/>
              </w:rPr>
              <w:t xml:space="preserve"> (in kg/m²), Median (IQR)</w:t>
            </w:r>
          </w:p>
        </w:tc>
        <w:tc>
          <w:tcPr>
            <w:tcW w:w="2623" w:type="dxa"/>
            <w:tcBorders>
              <w:top w:val="single" w:sz="4" w:space="0" w:color="auto"/>
              <w:left w:val="single" w:sz="4" w:space="0" w:color="auto"/>
              <w:bottom w:val="single" w:sz="4" w:space="0" w:color="auto"/>
              <w:right w:val="single" w:sz="4" w:space="0" w:color="auto"/>
            </w:tcBorders>
            <w:hideMark/>
          </w:tcPr>
          <w:p w14:paraId="5B66C395" w14:textId="77777777" w:rsidR="00463530" w:rsidRDefault="00463530">
            <w:pPr>
              <w:spacing w:line="256" w:lineRule="auto"/>
              <w:jc w:val="center"/>
              <w:rPr>
                <w:rFonts w:ascii="Times" w:hAnsi="Times" w:cs="Times"/>
                <w:lang w:eastAsia="en-US"/>
              </w:rPr>
            </w:pPr>
            <w:r>
              <w:rPr>
                <w:rFonts w:ascii="Times" w:hAnsi="Times" w:cs="Times"/>
                <w:lang w:eastAsia="en-US"/>
              </w:rPr>
              <w:t>27.3 (23.9 - 32)</w:t>
            </w:r>
          </w:p>
        </w:tc>
        <w:tc>
          <w:tcPr>
            <w:tcW w:w="2433" w:type="dxa"/>
            <w:tcBorders>
              <w:top w:val="single" w:sz="4" w:space="0" w:color="auto"/>
              <w:left w:val="single" w:sz="4" w:space="0" w:color="auto"/>
              <w:bottom w:val="single" w:sz="4" w:space="0" w:color="auto"/>
              <w:right w:val="single" w:sz="4" w:space="0" w:color="auto"/>
            </w:tcBorders>
            <w:hideMark/>
          </w:tcPr>
          <w:p w14:paraId="106A1DD9" w14:textId="77777777" w:rsidR="00463530" w:rsidRDefault="00463530">
            <w:pPr>
              <w:spacing w:line="256" w:lineRule="auto"/>
              <w:jc w:val="center"/>
              <w:rPr>
                <w:rFonts w:ascii="Times" w:hAnsi="Times" w:cs="Times"/>
                <w:lang w:eastAsia="en-US"/>
              </w:rPr>
            </w:pPr>
            <w:r>
              <w:rPr>
                <w:rFonts w:ascii="Times" w:hAnsi="Times" w:cs="Times"/>
                <w:lang w:eastAsia="en-US"/>
              </w:rPr>
              <w:t>27.3 (24.5 - 31.7)</w:t>
            </w:r>
          </w:p>
        </w:tc>
      </w:tr>
      <w:tr w:rsidR="00463530" w14:paraId="2857739D"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0F16DF4C" w14:textId="77777777" w:rsidR="00463530" w:rsidRDefault="00463530">
            <w:pPr>
              <w:spacing w:line="256" w:lineRule="auto"/>
              <w:rPr>
                <w:rFonts w:ascii="Times" w:hAnsi="Times" w:cs="Times"/>
                <w:b/>
                <w:lang w:eastAsia="en-US"/>
              </w:rPr>
            </w:pPr>
            <w:r>
              <w:rPr>
                <w:rFonts w:ascii="Times" w:hAnsi="Times" w:cs="Times"/>
                <w:b/>
                <w:lang w:eastAsia="en-US"/>
              </w:rPr>
              <w:t>Parity</w:t>
            </w:r>
          </w:p>
        </w:tc>
        <w:tc>
          <w:tcPr>
            <w:tcW w:w="2623" w:type="dxa"/>
            <w:tcBorders>
              <w:top w:val="single" w:sz="4" w:space="0" w:color="auto"/>
              <w:left w:val="single" w:sz="4" w:space="0" w:color="auto"/>
              <w:bottom w:val="single" w:sz="4" w:space="0" w:color="auto"/>
              <w:right w:val="single" w:sz="4" w:space="0" w:color="auto"/>
            </w:tcBorders>
          </w:tcPr>
          <w:p w14:paraId="7B8117C2" w14:textId="77777777" w:rsidR="00463530" w:rsidRDefault="00463530">
            <w:pPr>
              <w:spacing w:line="256" w:lineRule="auto"/>
              <w:jc w:val="center"/>
              <w:rPr>
                <w:rFonts w:ascii="Times" w:hAnsi="Times" w:cs="Times"/>
                <w:lang w:eastAsia="en-US"/>
              </w:rPr>
            </w:pPr>
          </w:p>
        </w:tc>
        <w:tc>
          <w:tcPr>
            <w:tcW w:w="2433" w:type="dxa"/>
            <w:tcBorders>
              <w:top w:val="single" w:sz="4" w:space="0" w:color="auto"/>
              <w:left w:val="single" w:sz="4" w:space="0" w:color="auto"/>
              <w:bottom w:val="single" w:sz="4" w:space="0" w:color="auto"/>
              <w:right w:val="single" w:sz="4" w:space="0" w:color="auto"/>
            </w:tcBorders>
          </w:tcPr>
          <w:p w14:paraId="227973AD" w14:textId="77777777" w:rsidR="00463530" w:rsidRDefault="00463530">
            <w:pPr>
              <w:spacing w:line="256" w:lineRule="auto"/>
              <w:jc w:val="center"/>
              <w:rPr>
                <w:rFonts w:ascii="Times" w:hAnsi="Times" w:cs="Times"/>
                <w:lang w:eastAsia="en-US"/>
              </w:rPr>
            </w:pPr>
          </w:p>
        </w:tc>
      </w:tr>
      <w:tr w:rsidR="00463530" w14:paraId="552C06F9"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3DFB179D" w14:textId="77777777" w:rsidR="00463530" w:rsidRDefault="00463530">
            <w:pPr>
              <w:spacing w:line="256" w:lineRule="auto"/>
              <w:jc w:val="center"/>
              <w:rPr>
                <w:rFonts w:ascii="Times" w:hAnsi="Times" w:cs="Times"/>
                <w:b/>
                <w:lang w:eastAsia="en-US"/>
              </w:rPr>
            </w:pPr>
            <w:r>
              <w:rPr>
                <w:rFonts w:ascii="Times" w:hAnsi="Times" w:cs="Times"/>
                <w:lang w:eastAsia="en-US"/>
              </w:rPr>
              <w:t>Nulliparous</w:t>
            </w:r>
          </w:p>
        </w:tc>
        <w:tc>
          <w:tcPr>
            <w:tcW w:w="2623" w:type="dxa"/>
            <w:tcBorders>
              <w:top w:val="single" w:sz="4" w:space="0" w:color="auto"/>
              <w:left w:val="single" w:sz="4" w:space="0" w:color="auto"/>
              <w:bottom w:val="single" w:sz="4" w:space="0" w:color="auto"/>
              <w:right w:val="single" w:sz="4" w:space="0" w:color="auto"/>
            </w:tcBorders>
            <w:hideMark/>
          </w:tcPr>
          <w:p w14:paraId="64C5CA1C" w14:textId="77777777" w:rsidR="00463530" w:rsidRDefault="00463530">
            <w:pPr>
              <w:spacing w:line="256" w:lineRule="auto"/>
              <w:jc w:val="center"/>
              <w:rPr>
                <w:rFonts w:ascii="Times" w:hAnsi="Times" w:cs="Times"/>
                <w:b/>
                <w:highlight w:val="yellow"/>
                <w:lang w:eastAsia="en-US"/>
              </w:rPr>
            </w:pPr>
            <w:r>
              <w:rPr>
                <w:rFonts w:ascii="Times" w:hAnsi="Times" w:cs="Times"/>
                <w:lang w:eastAsia="en-US"/>
              </w:rPr>
              <w:t>145 (44.2%)</w:t>
            </w:r>
          </w:p>
        </w:tc>
        <w:tc>
          <w:tcPr>
            <w:tcW w:w="2433" w:type="dxa"/>
            <w:tcBorders>
              <w:top w:val="single" w:sz="4" w:space="0" w:color="auto"/>
              <w:left w:val="single" w:sz="4" w:space="0" w:color="auto"/>
              <w:bottom w:val="single" w:sz="4" w:space="0" w:color="auto"/>
              <w:right w:val="single" w:sz="4" w:space="0" w:color="auto"/>
            </w:tcBorders>
            <w:hideMark/>
          </w:tcPr>
          <w:p w14:paraId="12E7797A" w14:textId="77777777" w:rsidR="00463530" w:rsidRDefault="00463530">
            <w:pPr>
              <w:spacing w:line="256" w:lineRule="auto"/>
              <w:jc w:val="center"/>
              <w:rPr>
                <w:rFonts w:ascii="Times" w:hAnsi="Times" w:cs="Times"/>
                <w:lang w:eastAsia="en-US"/>
              </w:rPr>
            </w:pPr>
            <w:r>
              <w:rPr>
                <w:rFonts w:ascii="Times" w:hAnsi="Times" w:cs="Times"/>
                <w:lang w:eastAsia="en-US"/>
              </w:rPr>
              <w:t>35 (83.3%)</w:t>
            </w:r>
          </w:p>
        </w:tc>
      </w:tr>
      <w:tr w:rsidR="00463530" w14:paraId="208EFE78"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15146D81" w14:textId="77777777" w:rsidR="00463530" w:rsidRDefault="00463530">
            <w:pPr>
              <w:spacing w:line="256" w:lineRule="auto"/>
              <w:jc w:val="center"/>
              <w:rPr>
                <w:rFonts w:ascii="Times" w:hAnsi="Times" w:cs="Times"/>
                <w:lang w:eastAsia="en-US"/>
              </w:rPr>
            </w:pPr>
            <w:r>
              <w:rPr>
                <w:rFonts w:ascii="Times" w:hAnsi="Times" w:cs="Times"/>
                <w:lang w:eastAsia="en-US"/>
              </w:rPr>
              <w:t>Multiparous</w:t>
            </w:r>
          </w:p>
        </w:tc>
        <w:tc>
          <w:tcPr>
            <w:tcW w:w="2623" w:type="dxa"/>
            <w:tcBorders>
              <w:top w:val="single" w:sz="4" w:space="0" w:color="auto"/>
              <w:left w:val="single" w:sz="4" w:space="0" w:color="auto"/>
              <w:bottom w:val="single" w:sz="4" w:space="0" w:color="auto"/>
              <w:right w:val="single" w:sz="4" w:space="0" w:color="auto"/>
            </w:tcBorders>
            <w:hideMark/>
          </w:tcPr>
          <w:p w14:paraId="4BB9A8AE" w14:textId="77777777" w:rsidR="00463530" w:rsidRDefault="00463530">
            <w:pPr>
              <w:spacing w:line="256" w:lineRule="auto"/>
              <w:jc w:val="center"/>
              <w:rPr>
                <w:rFonts w:ascii="Times" w:hAnsi="Times" w:cs="Times"/>
                <w:highlight w:val="yellow"/>
                <w:lang w:eastAsia="en-US"/>
              </w:rPr>
            </w:pPr>
            <w:r>
              <w:rPr>
                <w:rFonts w:ascii="Times" w:hAnsi="Times" w:cs="Times"/>
                <w:lang w:eastAsia="en-US"/>
              </w:rPr>
              <w:t>183(55.8%)</w:t>
            </w:r>
          </w:p>
        </w:tc>
        <w:tc>
          <w:tcPr>
            <w:tcW w:w="2433" w:type="dxa"/>
            <w:tcBorders>
              <w:top w:val="single" w:sz="4" w:space="0" w:color="auto"/>
              <w:left w:val="single" w:sz="4" w:space="0" w:color="auto"/>
              <w:bottom w:val="single" w:sz="4" w:space="0" w:color="auto"/>
              <w:right w:val="single" w:sz="4" w:space="0" w:color="auto"/>
            </w:tcBorders>
            <w:hideMark/>
          </w:tcPr>
          <w:p w14:paraId="2C890B9B" w14:textId="77777777" w:rsidR="00463530" w:rsidRDefault="00463530">
            <w:pPr>
              <w:spacing w:line="256" w:lineRule="auto"/>
              <w:jc w:val="center"/>
              <w:rPr>
                <w:rFonts w:ascii="Times" w:hAnsi="Times" w:cs="Times"/>
                <w:lang w:eastAsia="en-US"/>
              </w:rPr>
            </w:pPr>
            <w:r>
              <w:rPr>
                <w:rFonts w:ascii="Times" w:hAnsi="Times" w:cs="Times"/>
                <w:lang w:eastAsia="en-US"/>
              </w:rPr>
              <w:t>7 (16.7%)</w:t>
            </w:r>
          </w:p>
        </w:tc>
      </w:tr>
      <w:tr w:rsidR="00463530" w14:paraId="282F08E1"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28C50E2C" w14:textId="77777777" w:rsidR="00463530" w:rsidRDefault="00463530">
            <w:pPr>
              <w:spacing w:line="256" w:lineRule="auto"/>
              <w:rPr>
                <w:rFonts w:ascii="Times" w:hAnsi="Times" w:cs="Times"/>
                <w:b/>
                <w:lang w:eastAsia="en-US"/>
              </w:rPr>
            </w:pPr>
            <w:r>
              <w:rPr>
                <w:rFonts w:ascii="Times" w:hAnsi="Times" w:cs="Times"/>
                <w:b/>
                <w:lang w:eastAsia="en-US"/>
              </w:rPr>
              <w:t>Smoking status</w:t>
            </w:r>
          </w:p>
        </w:tc>
        <w:tc>
          <w:tcPr>
            <w:tcW w:w="2623" w:type="dxa"/>
            <w:tcBorders>
              <w:top w:val="single" w:sz="4" w:space="0" w:color="auto"/>
              <w:left w:val="single" w:sz="4" w:space="0" w:color="auto"/>
              <w:bottom w:val="single" w:sz="4" w:space="0" w:color="auto"/>
              <w:right w:val="single" w:sz="4" w:space="0" w:color="auto"/>
            </w:tcBorders>
          </w:tcPr>
          <w:p w14:paraId="2ABD79E3" w14:textId="77777777" w:rsidR="00463530" w:rsidRDefault="00463530">
            <w:pPr>
              <w:spacing w:line="256" w:lineRule="auto"/>
              <w:jc w:val="center"/>
              <w:rPr>
                <w:rFonts w:ascii="Times" w:hAnsi="Times" w:cs="Times"/>
                <w:highlight w:val="yellow"/>
                <w:lang w:eastAsia="en-US"/>
              </w:rPr>
            </w:pPr>
          </w:p>
        </w:tc>
        <w:tc>
          <w:tcPr>
            <w:tcW w:w="2433" w:type="dxa"/>
            <w:tcBorders>
              <w:top w:val="single" w:sz="4" w:space="0" w:color="auto"/>
              <w:left w:val="single" w:sz="4" w:space="0" w:color="auto"/>
              <w:bottom w:val="single" w:sz="4" w:space="0" w:color="auto"/>
              <w:right w:val="single" w:sz="4" w:space="0" w:color="auto"/>
            </w:tcBorders>
          </w:tcPr>
          <w:p w14:paraId="41F9D361" w14:textId="77777777" w:rsidR="00463530" w:rsidRDefault="00463530">
            <w:pPr>
              <w:spacing w:line="256" w:lineRule="auto"/>
              <w:jc w:val="center"/>
              <w:rPr>
                <w:rFonts w:ascii="Times" w:hAnsi="Times" w:cs="Times"/>
                <w:lang w:eastAsia="en-US"/>
              </w:rPr>
            </w:pPr>
          </w:p>
        </w:tc>
      </w:tr>
      <w:tr w:rsidR="00463530" w14:paraId="1E3C1F20"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2F747502" w14:textId="77777777" w:rsidR="00463530" w:rsidRDefault="00463530">
            <w:pPr>
              <w:spacing w:line="256" w:lineRule="auto"/>
              <w:ind w:firstLine="480"/>
              <w:jc w:val="center"/>
              <w:rPr>
                <w:rFonts w:ascii="Times" w:hAnsi="Times" w:cs="Times"/>
                <w:lang w:eastAsia="en-US"/>
              </w:rPr>
            </w:pPr>
            <w:r>
              <w:rPr>
                <w:rFonts w:ascii="Times" w:hAnsi="Times" w:cs="Times"/>
                <w:lang w:eastAsia="en-US"/>
              </w:rPr>
              <w:t>Current smoker</w:t>
            </w:r>
          </w:p>
        </w:tc>
        <w:tc>
          <w:tcPr>
            <w:tcW w:w="2623" w:type="dxa"/>
            <w:tcBorders>
              <w:top w:val="single" w:sz="4" w:space="0" w:color="auto"/>
              <w:left w:val="single" w:sz="4" w:space="0" w:color="auto"/>
              <w:bottom w:val="single" w:sz="4" w:space="0" w:color="auto"/>
              <w:right w:val="single" w:sz="4" w:space="0" w:color="auto"/>
            </w:tcBorders>
            <w:hideMark/>
          </w:tcPr>
          <w:p w14:paraId="21B99C54" w14:textId="77777777" w:rsidR="00463530" w:rsidRDefault="00463530">
            <w:pPr>
              <w:spacing w:line="256" w:lineRule="auto"/>
              <w:jc w:val="center"/>
              <w:rPr>
                <w:rFonts w:ascii="Times" w:hAnsi="Times" w:cs="Times"/>
                <w:lang w:eastAsia="en-US"/>
              </w:rPr>
            </w:pPr>
            <w:r>
              <w:rPr>
                <w:rFonts w:ascii="Times" w:hAnsi="Times" w:cs="Times"/>
                <w:lang w:eastAsia="en-US"/>
              </w:rPr>
              <w:t>31 (9.4%)</w:t>
            </w:r>
          </w:p>
        </w:tc>
        <w:tc>
          <w:tcPr>
            <w:tcW w:w="2433" w:type="dxa"/>
            <w:tcBorders>
              <w:top w:val="single" w:sz="4" w:space="0" w:color="auto"/>
              <w:left w:val="single" w:sz="4" w:space="0" w:color="auto"/>
              <w:bottom w:val="single" w:sz="4" w:space="0" w:color="auto"/>
              <w:right w:val="single" w:sz="4" w:space="0" w:color="auto"/>
            </w:tcBorders>
            <w:hideMark/>
          </w:tcPr>
          <w:p w14:paraId="68AF0ABF" w14:textId="77777777" w:rsidR="00463530" w:rsidRDefault="00463530">
            <w:pPr>
              <w:spacing w:line="256" w:lineRule="auto"/>
              <w:jc w:val="center"/>
              <w:rPr>
                <w:rFonts w:ascii="Times" w:hAnsi="Times" w:cs="Times"/>
                <w:lang w:eastAsia="en-US"/>
              </w:rPr>
            </w:pPr>
            <w:r>
              <w:rPr>
                <w:rFonts w:ascii="Times" w:hAnsi="Times" w:cs="Times"/>
                <w:lang w:eastAsia="en-US"/>
              </w:rPr>
              <w:t>2 (4.8%)</w:t>
            </w:r>
          </w:p>
        </w:tc>
      </w:tr>
      <w:tr w:rsidR="00463530" w14:paraId="4B469E3D"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0382CB05" w14:textId="77777777" w:rsidR="00463530" w:rsidRDefault="00463530">
            <w:pPr>
              <w:spacing w:line="256" w:lineRule="auto"/>
              <w:ind w:firstLine="480"/>
              <w:jc w:val="center"/>
              <w:rPr>
                <w:rFonts w:ascii="Times" w:hAnsi="Times" w:cs="Times"/>
                <w:lang w:eastAsia="en-US"/>
              </w:rPr>
            </w:pPr>
            <w:r>
              <w:rPr>
                <w:rFonts w:ascii="Times" w:hAnsi="Times" w:cs="Times"/>
                <w:lang w:eastAsia="en-US"/>
              </w:rPr>
              <w:t>Never smoker</w:t>
            </w:r>
          </w:p>
        </w:tc>
        <w:tc>
          <w:tcPr>
            <w:tcW w:w="2623" w:type="dxa"/>
            <w:tcBorders>
              <w:top w:val="single" w:sz="4" w:space="0" w:color="auto"/>
              <w:left w:val="single" w:sz="4" w:space="0" w:color="auto"/>
              <w:bottom w:val="single" w:sz="4" w:space="0" w:color="auto"/>
              <w:right w:val="single" w:sz="4" w:space="0" w:color="auto"/>
            </w:tcBorders>
            <w:hideMark/>
          </w:tcPr>
          <w:p w14:paraId="4BB341BA" w14:textId="77777777" w:rsidR="00463530" w:rsidRDefault="00463530">
            <w:pPr>
              <w:spacing w:line="256" w:lineRule="auto"/>
              <w:jc w:val="center"/>
              <w:rPr>
                <w:rFonts w:ascii="Times" w:hAnsi="Times" w:cs="Times"/>
                <w:lang w:eastAsia="en-US"/>
              </w:rPr>
            </w:pPr>
            <w:r>
              <w:rPr>
                <w:rFonts w:ascii="Times" w:hAnsi="Times" w:cs="Times"/>
                <w:lang w:eastAsia="en-US"/>
              </w:rPr>
              <w:t>201 (61.3%)</w:t>
            </w:r>
          </w:p>
        </w:tc>
        <w:tc>
          <w:tcPr>
            <w:tcW w:w="2433" w:type="dxa"/>
            <w:tcBorders>
              <w:top w:val="single" w:sz="4" w:space="0" w:color="auto"/>
              <w:left w:val="single" w:sz="4" w:space="0" w:color="auto"/>
              <w:bottom w:val="single" w:sz="4" w:space="0" w:color="auto"/>
              <w:right w:val="single" w:sz="4" w:space="0" w:color="auto"/>
            </w:tcBorders>
            <w:hideMark/>
          </w:tcPr>
          <w:p w14:paraId="36ED5E47" w14:textId="77777777" w:rsidR="00463530" w:rsidRDefault="00463530">
            <w:pPr>
              <w:spacing w:line="256" w:lineRule="auto"/>
              <w:jc w:val="center"/>
              <w:rPr>
                <w:rFonts w:ascii="Times" w:hAnsi="Times" w:cs="Times"/>
                <w:lang w:eastAsia="en-US"/>
              </w:rPr>
            </w:pPr>
            <w:r>
              <w:rPr>
                <w:rFonts w:ascii="Times" w:hAnsi="Times" w:cs="Times"/>
                <w:lang w:eastAsia="en-US"/>
              </w:rPr>
              <w:t>24 (57.1%)</w:t>
            </w:r>
          </w:p>
        </w:tc>
      </w:tr>
      <w:tr w:rsidR="00463530" w14:paraId="18DC6143"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6F3158D5" w14:textId="77777777" w:rsidR="00463530" w:rsidRDefault="00463530">
            <w:pPr>
              <w:spacing w:line="256" w:lineRule="auto"/>
              <w:ind w:firstLine="480"/>
              <w:jc w:val="center"/>
              <w:rPr>
                <w:rFonts w:ascii="Times" w:hAnsi="Times" w:cs="Times"/>
                <w:lang w:eastAsia="en-US"/>
              </w:rPr>
            </w:pPr>
            <w:r>
              <w:rPr>
                <w:rFonts w:ascii="Times" w:hAnsi="Times" w:cs="Times"/>
                <w:lang w:eastAsia="en-US"/>
              </w:rPr>
              <w:t>Previous smoker</w:t>
            </w:r>
          </w:p>
        </w:tc>
        <w:tc>
          <w:tcPr>
            <w:tcW w:w="2623" w:type="dxa"/>
            <w:tcBorders>
              <w:top w:val="single" w:sz="4" w:space="0" w:color="auto"/>
              <w:left w:val="single" w:sz="4" w:space="0" w:color="auto"/>
              <w:bottom w:val="single" w:sz="4" w:space="0" w:color="auto"/>
              <w:right w:val="single" w:sz="4" w:space="0" w:color="auto"/>
            </w:tcBorders>
            <w:hideMark/>
          </w:tcPr>
          <w:p w14:paraId="5329D8F1" w14:textId="77777777" w:rsidR="00463530" w:rsidRDefault="00463530">
            <w:pPr>
              <w:spacing w:line="256" w:lineRule="auto"/>
              <w:jc w:val="center"/>
              <w:rPr>
                <w:rFonts w:ascii="Times" w:hAnsi="Times" w:cs="Times"/>
                <w:lang w:eastAsia="en-US"/>
              </w:rPr>
            </w:pPr>
            <w:r>
              <w:rPr>
                <w:rFonts w:ascii="Times" w:hAnsi="Times" w:cs="Times"/>
                <w:lang w:eastAsia="en-US"/>
              </w:rPr>
              <w:t>96 (29.3%)</w:t>
            </w:r>
          </w:p>
        </w:tc>
        <w:tc>
          <w:tcPr>
            <w:tcW w:w="2433" w:type="dxa"/>
            <w:tcBorders>
              <w:top w:val="single" w:sz="4" w:space="0" w:color="auto"/>
              <w:left w:val="single" w:sz="4" w:space="0" w:color="auto"/>
              <w:bottom w:val="single" w:sz="4" w:space="0" w:color="auto"/>
              <w:right w:val="single" w:sz="4" w:space="0" w:color="auto"/>
            </w:tcBorders>
            <w:hideMark/>
          </w:tcPr>
          <w:p w14:paraId="07746F3E" w14:textId="77777777" w:rsidR="00463530" w:rsidRDefault="00463530">
            <w:pPr>
              <w:spacing w:line="256" w:lineRule="auto"/>
              <w:jc w:val="center"/>
              <w:rPr>
                <w:rFonts w:ascii="Times" w:hAnsi="Times" w:cs="Times"/>
                <w:lang w:eastAsia="en-US"/>
              </w:rPr>
            </w:pPr>
            <w:r>
              <w:rPr>
                <w:rFonts w:ascii="Times" w:hAnsi="Times" w:cs="Times"/>
                <w:lang w:eastAsia="en-US"/>
              </w:rPr>
              <w:t>16 (38.1%)</w:t>
            </w:r>
          </w:p>
        </w:tc>
      </w:tr>
      <w:tr w:rsidR="00463530" w14:paraId="4F1FFED8"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598C029B" w14:textId="77777777" w:rsidR="00463530" w:rsidRDefault="00463530">
            <w:pPr>
              <w:spacing w:line="256" w:lineRule="auto"/>
              <w:rPr>
                <w:rFonts w:ascii="Times" w:hAnsi="Times" w:cs="Times"/>
                <w:b/>
                <w:lang w:eastAsia="en-US"/>
              </w:rPr>
            </w:pPr>
            <w:r>
              <w:rPr>
                <w:rFonts w:ascii="Times" w:hAnsi="Times" w:cs="Times"/>
                <w:b/>
                <w:lang w:eastAsia="en-US"/>
              </w:rPr>
              <w:t>Ethnicity</w:t>
            </w:r>
          </w:p>
        </w:tc>
        <w:tc>
          <w:tcPr>
            <w:tcW w:w="2623" w:type="dxa"/>
            <w:tcBorders>
              <w:top w:val="single" w:sz="4" w:space="0" w:color="auto"/>
              <w:left w:val="single" w:sz="4" w:space="0" w:color="auto"/>
              <w:bottom w:val="single" w:sz="4" w:space="0" w:color="auto"/>
              <w:right w:val="single" w:sz="4" w:space="0" w:color="auto"/>
            </w:tcBorders>
          </w:tcPr>
          <w:p w14:paraId="6B4CE825" w14:textId="77777777" w:rsidR="00463530" w:rsidRDefault="00463530">
            <w:pPr>
              <w:spacing w:line="256" w:lineRule="auto"/>
              <w:jc w:val="center"/>
              <w:rPr>
                <w:rFonts w:ascii="Times" w:hAnsi="Times" w:cs="Times"/>
                <w:lang w:eastAsia="en-US"/>
              </w:rPr>
            </w:pPr>
          </w:p>
        </w:tc>
        <w:tc>
          <w:tcPr>
            <w:tcW w:w="2433" w:type="dxa"/>
            <w:tcBorders>
              <w:top w:val="single" w:sz="4" w:space="0" w:color="auto"/>
              <w:left w:val="single" w:sz="4" w:space="0" w:color="auto"/>
              <w:bottom w:val="single" w:sz="4" w:space="0" w:color="auto"/>
              <w:right w:val="single" w:sz="4" w:space="0" w:color="auto"/>
            </w:tcBorders>
          </w:tcPr>
          <w:p w14:paraId="0072CC9B" w14:textId="77777777" w:rsidR="00463530" w:rsidRDefault="00463530">
            <w:pPr>
              <w:spacing w:line="256" w:lineRule="auto"/>
              <w:jc w:val="center"/>
              <w:rPr>
                <w:rFonts w:ascii="Times" w:hAnsi="Times" w:cs="Times"/>
                <w:lang w:eastAsia="en-US"/>
              </w:rPr>
            </w:pPr>
          </w:p>
        </w:tc>
      </w:tr>
      <w:tr w:rsidR="00463530" w14:paraId="3366A045"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19808894" w14:textId="77777777" w:rsidR="00463530" w:rsidRDefault="00463530">
            <w:pPr>
              <w:spacing w:line="256" w:lineRule="auto"/>
              <w:ind w:firstLine="480"/>
              <w:jc w:val="center"/>
              <w:rPr>
                <w:rFonts w:ascii="Times" w:hAnsi="Times" w:cs="Times"/>
                <w:lang w:eastAsia="en-US"/>
              </w:rPr>
            </w:pPr>
            <w:r>
              <w:rPr>
                <w:rFonts w:ascii="Times" w:hAnsi="Times" w:cs="Times"/>
                <w:lang w:eastAsia="en-US"/>
              </w:rPr>
              <w:t>White British</w:t>
            </w:r>
          </w:p>
        </w:tc>
        <w:tc>
          <w:tcPr>
            <w:tcW w:w="2623" w:type="dxa"/>
            <w:tcBorders>
              <w:top w:val="single" w:sz="4" w:space="0" w:color="auto"/>
              <w:left w:val="single" w:sz="4" w:space="0" w:color="auto"/>
              <w:bottom w:val="single" w:sz="4" w:space="0" w:color="auto"/>
              <w:right w:val="single" w:sz="4" w:space="0" w:color="auto"/>
            </w:tcBorders>
            <w:hideMark/>
          </w:tcPr>
          <w:p w14:paraId="7304481D" w14:textId="77777777" w:rsidR="00463530" w:rsidRDefault="00463530">
            <w:pPr>
              <w:spacing w:line="256" w:lineRule="auto"/>
              <w:jc w:val="center"/>
              <w:rPr>
                <w:rFonts w:ascii="Times" w:hAnsi="Times" w:cs="Times"/>
                <w:lang w:eastAsia="en-US"/>
              </w:rPr>
            </w:pPr>
            <w:r>
              <w:rPr>
                <w:rFonts w:ascii="Times" w:hAnsi="Times" w:cs="Times"/>
                <w:lang w:eastAsia="en-US"/>
              </w:rPr>
              <w:t>295 (89.9%)</w:t>
            </w:r>
          </w:p>
        </w:tc>
        <w:tc>
          <w:tcPr>
            <w:tcW w:w="2433" w:type="dxa"/>
            <w:tcBorders>
              <w:top w:val="single" w:sz="4" w:space="0" w:color="auto"/>
              <w:left w:val="single" w:sz="4" w:space="0" w:color="auto"/>
              <w:bottom w:val="single" w:sz="4" w:space="0" w:color="auto"/>
              <w:right w:val="single" w:sz="4" w:space="0" w:color="auto"/>
            </w:tcBorders>
            <w:hideMark/>
          </w:tcPr>
          <w:p w14:paraId="064F8324" w14:textId="77777777" w:rsidR="00463530" w:rsidRDefault="00463530">
            <w:pPr>
              <w:spacing w:line="256" w:lineRule="auto"/>
              <w:jc w:val="center"/>
              <w:rPr>
                <w:rFonts w:ascii="Times" w:hAnsi="Times" w:cs="Times"/>
                <w:lang w:eastAsia="en-US"/>
              </w:rPr>
            </w:pPr>
            <w:r>
              <w:rPr>
                <w:rFonts w:ascii="Times" w:hAnsi="Times" w:cs="Times"/>
                <w:lang w:eastAsia="en-US"/>
              </w:rPr>
              <w:t>37 (88.1%)</w:t>
            </w:r>
          </w:p>
        </w:tc>
      </w:tr>
      <w:tr w:rsidR="00463530" w14:paraId="28603B5B"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031F46A5" w14:textId="77777777" w:rsidR="00463530" w:rsidRDefault="00463530">
            <w:pPr>
              <w:spacing w:line="256" w:lineRule="auto"/>
              <w:ind w:firstLine="480"/>
              <w:jc w:val="center"/>
              <w:rPr>
                <w:rFonts w:ascii="Times" w:hAnsi="Times" w:cs="Times"/>
                <w:lang w:eastAsia="en-US"/>
              </w:rPr>
            </w:pPr>
            <w:r>
              <w:rPr>
                <w:rFonts w:ascii="Times" w:hAnsi="Times" w:cs="Times"/>
                <w:lang w:eastAsia="en-US"/>
              </w:rPr>
              <w:t>Other</w:t>
            </w:r>
          </w:p>
        </w:tc>
        <w:tc>
          <w:tcPr>
            <w:tcW w:w="2623" w:type="dxa"/>
            <w:tcBorders>
              <w:top w:val="single" w:sz="4" w:space="0" w:color="auto"/>
              <w:left w:val="single" w:sz="4" w:space="0" w:color="auto"/>
              <w:bottom w:val="single" w:sz="4" w:space="0" w:color="auto"/>
              <w:right w:val="single" w:sz="4" w:space="0" w:color="auto"/>
            </w:tcBorders>
            <w:hideMark/>
          </w:tcPr>
          <w:p w14:paraId="61E5D7AB" w14:textId="77777777" w:rsidR="00463530" w:rsidRDefault="00463530">
            <w:pPr>
              <w:spacing w:line="256" w:lineRule="auto"/>
              <w:jc w:val="center"/>
              <w:rPr>
                <w:rFonts w:ascii="Times" w:hAnsi="Times" w:cs="Times"/>
                <w:lang w:eastAsia="en-US"/>
              </w:rPr>
            </w:pPr>
            <w:r>
              <w:rPr>
                <w:rFonts w:ascii="Times" w:hAnsi="Times" w:cs="Times"/>
                <w:lang w:eastAsia="en-US"/>
              </w:rPr>
              <w:t>33 (10.1%)</w:t>
            </w:r>
          </w:p>
        </w:tc>
        <w:tc>
          <w:tcPr>
            <w:tcW w:w="2433" w:type="dxa"/>
            <w:tcBorders>
              <w:top w:val="single" w:sz="4" w:space="0" w:color="auto"/>
              <w:left w:val="single" w:sz="4" w:space="0" w:color="auto"/>
              <w:bottom w:val="single" w:sz="4" w:space="0" w:color="auto"/>
              <w:right w:val="single" w:sz="4" w:space="0" w:color="auto"/>
            </w:tcBorders>
            <w:hideMark/>
          </w:tcPr>
          <w:p w14:paraId="498FB003" w14:textId="77777777" w:rsidR="00463530" w:rsidRDefault="00463530">
            <w:pPr>
              <w:spacing w:line="256" w:lineRule="auto"/>
              <w:jc w:val="center"/>
              <w:rPr>
                <w:rFonts w:ascii="Times" w:hAnsi="Times" w:cs="Times"/>
                <w:lang w:eastAsia="en-US"/>
              </w:rPr>
            </w:pPr>
            <w:r>
              <w:rPr>
                <w:rFonts w:ascii="Times" w:hAnsi="Times" w:cs="Times"/>
                <w:lang w:eastAsia="en-US"/>
              </w:rPr>
              <w:t>5 (11.9%)</w:t>
            </w:r>
          </w:p>
        </w:tc>
      </w:tr>
      <w:tr w:rsidR="00463530" w14:paraId="28F82441"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0ED1EADA" w14:textId="77777777" w:rsidR="00463530" w:rsidRDefault="00463530">
            <w:pPr>
              <w:spacing w:line="256" w:lineRule="auto"/>
              <w:rPr>
                <w:rFonts w:ascii="Times" w:hAnsi="Times" w:cs="Times"/>
                <w:lang w:eastAsia="en-US"/>
              </w:rPr>
            </w:pPr>
            <w:r>
              <w:rPr>
                <w:rFonts w:ascii="Times" w:hAnsi="Times" w:cs="Times"/>
                <w:lang w:eastAsia="en-US"/>
              </w:rPr>
              <w:t>*</w:t>
            </w:r>
            <w:r>
              <w:rPr>
                <w:rFonts w:ascii="Times" w:hAnsi="Times" w:cs="Times"/>
                <w:b/>
                <w:lang w:eastAsia="en-US"/>
              </w:rPr>
              <w:t>sFlt-1</w:t>
            </w:r>
            <w:r>
              <w:rPr>
                <w:rFonts w:ascii="Times" w:hAnsi="Times" w:cs="Times"/>
                <w:lang w:eastAsia="en-US"/>
              </w:rPr>
              <w:t>, Median (IQR)</w:t>
            </w:r>
          </w:p>
        </w:tc>
        <w:tc>
          <w:tcPr>
            <w:tcW w:w="2623" w:type="dxa"/>
            <w:tcBorders>
              <w:top w:val="single" w:sz="4" w:space="0" w:color="auto"/>
              <w:left w:val="single" w:sz="4" w:space="0" w:color="auto"/>
              <w:bottom w:val="single" w:sz="4" w:space="0" w:color="auto"/>
              <w:right w:val="single" w:sz="4" w:space="0" w:color="auto"/>
            </w:tcBorders>
            <w:hideMark/>
          </w:tcPr>
          <w:p w14:paraId="262B6A0A" w14:textId="77777777" w:rsidR="00463530" w:rsidRDefault="00463530">
            <w:pPr>
              <w:spacing w:line="256" w:lineRule="auto"/>
              <w:jc w:val="center"/>
              <w:rPr>
                <w:rFonts w:ascii="Times" w:hAnsi="Times" w:cs="Times"/>
                <w:lang w:eastAsia="en-US"/>
              </w:rPr>
            </w:pPr>
            <w:r>
              <w:rPr>
                <w:rFonts w:ascii="Times" w:hAnsi="Times" w:cs="Times"/>
                <w:lang w:eastAsia="en-US"/>
              </w:rPr>
              <w:t>3.38 (3.18 – 3.61)</w:t>
            </w:r>
          </w:p>
        </w:tc>
        <w:tc>
          <w:tcPr>
            <w:tcW w:w="2433" w:type="dxa"/>
            <w:tcBorders>
              <w:top w:val="single" w:sz="4" w:space="0" w:color="auto"/>
              <w:left w:val="single" w:sz="4" w:space="0" w:color="auto"/>
              <w:bottom w:val="single" w:sz="4" w:space="0" w:color="auto"/>
              <w:right w:val="single" w:sz="4" w:space="0" w:color="auto"/>
            </w:tcBorders>
            <w:hideMark/>
          </w:tcPr>
          <w:p w14:paraId="6A8FC7FD" w14:textId="77777777" w:rsidR="00463530" w:rsidRDefault="00463530">
            <w:pPr>
              <w:spacing w:line="256" w:lineRule="auto"/>
              <w:jc w:val="center"/>
              <w:rPr>
                <w:rFonts w:ascii="Times" w:hAnsi="Times" w:cs="Times"/>
                <w:lang w:eastAsia="en-US"/>
              </w:rPr>
            </w:pPr>
            <w:r>
              <w:rPr>
                <w:rFonts w:ascii="Times" w:hAnsi="Times" w:cs="Times"/>
                <w:lang w:eastAsia="en-US"/>
              </w:rPr>
              <w:t>4.03 (3.88 - 4.15)</w:t>
            </w:r>
          </w:p>
        </w:tc>
      </w:tr>
      <w:tr w:rsidR="00463530" w14:paraId="07190C5A"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5293A84E" w14:textId="77777777" w:rsidR="00463530" w:rsidRDefault="00463530">
            <w:pPr>
              <w:spacing w:line="256" w:lineRule="auto"/>
              <w:rPr>
                <w:rFonts w:ascii="Times" w:hAnsi="Times" w:cs="Times"/>
                <w:lang w:eastAsia="en-US"/>
              </w:rPr>
            </w:pPr>
            <w:r>
              <w:rPr>
                <w:rFonts w:ascii="Times" w:hAnsi="Times" w:cs="Times"/>
                <w:lang w:eastAsia="en-US"/>
              </w:rPr>
              <w:t>*</w:t>
            </w:r>
            <w:proofErr w:type="spellStart"/>
            <w:r>
              <w:rPr>
                <w:rFonts w:ascii="Times" w:hAnsi="Times" w:cs="Times"/>
                <w:b/>
                <w:lang w:eastAsia="en-US"/>
              </w:rPr>
              <w:t>PlGF</w:t>
            </w:r>
            <w:proofErr w:type="spellEnd"/>
            <w:r>
              <w:rPr>
                <w:rFonts w:ascii="Times" w:hAnsi="Times" w:cs="Times"/>
                <w:lang w:eastAsia="en-US"/>
              </w:rPr>
              <w:t>, Median (IQR)</w:t>
            </w:r>
          </w:p>
        </w:tc>
        <w:tc>
          <w:tcPr>
            <w:tcW w:w="2623" w:type="dxa"/>
            <w:tcBorders>
              <w:top w:val="single" w:sz="4" w:space="0" w:color="auto"/>
              <w:left w:val="single" w:sz="4" w:space="0" w:color="auto"/>
              <w:bottom w:val="single" w:sz="4" w:space="0" w:color="auto"/>
              <w:right w:val="single" w:sz="4" w:space="0" w:color="auto"/>
            </w:tcBorders>
            <w:hideMark/>
          </w:tcPr>
          <w:p w14:paraId="05AC983F" w14:textId="77777777" w:rsidR="00463530" w:rsidRDefault="00463530">
            <w:pPr>
              <w:spacing w:line="256" w:lineRule="auto"/>
              <w:jc w:val="center"/>
              <w:rPr>
                <w:rFonts w:ascii="Times" w:hAnsi="Times" w:cs="Times"/>
                <w:lang w:eastAsia="en-US"/>
              </w:rPr>
            </w:pPr>
            <w:r>
              <w:rPr>
                <w:rFonts w:ascii="Times" w:hAnsi="Times" w:cs="Times"/>
                <w:lang w:eastAsia="en-US"/>
              </w:rPr>
              <w:t>2.40 (2.17 -2.73)</w:t>
            </w:r>
          </w:p>
        </w:tc>
        <w:tc>
          <w:tcPr>
            <w:tcW w:w="2433" w:type="dxa"/>
            <w:tcBorders>
              <w:top w:val="single" w:sz="4" w:space="0" w:color="auto"/>
              <w:left w:val="single" w:sz="4" w:space="0" w:color="auto"/>
              <w:bottom w:val="single" w:sz="4" w:space="0" w:color="auto"/>
              <w:right w:val="single" w:sz="4" w:space="0" w:color="auto"/>
            </w:tcBorders>
            <w:hideMark/>
          </w:tcPr>
          <w:p w14:paraId="49596F8B" w14:textId="77777777" w:rsidR="00463530" w:rsidRDefault="00463530">
            <w:pPr>
              <w:spacing w:line="256" w:lineRule="auto"/>
              <w:jc w:val="center"/>
              <w:rPr>
                <w:rFonts w:ascii="Times" w:hAnsi="Times" w:cs="Times"/>
                <w:lang w:eastAsia="en-US"/>
              </w:rPr>
            </w:pPr>
            <w:r>
              <w:rPr>
                <w:rFonts w:ascii="Times" w:hAnsi="Times" w:cs="Times"/>
                <w:lang w:eastAsia="en-US"/>
              </w:rPr>
              <w:t>1.87 (1.72 – 2.07)</w:t>
            </w:r>
          </w:p>
        </w:tc>
      </w:tr>
      <w:tr w:rsidR="00463530" w14:paraId="2F63AB27"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66FB9EE7" w14:textId="77777777" w:rsidR="00463530" w:rsidRDefault="00463530">
            <w:pPr>
              <w:spacing w:line="256" w:lineRule="auto"/>
              <w:rPr>
                <w:rFonts w:ascii="Times" w:hAnsi="Times" w:cs="Times"/>
                <w:lang w:eastAsia="en-US"/>
              </w:rPr>
            </w:pPr>
            <w:r>
              <w:rPr>
                <w:rFonts w:ascii="Times" w:hAnsi="Times" w:cs="Times"/>
                <w:lang w:eastAsia="en-US"/>
              </w:rPr>
              <w:t>*</w:t>
            </w:r>
            <w:r>
              <w:rPr>
                <w:rFonts w:ascii="Times" w:hAnsi="Times" w:cs="Times"/>
                <w:b/>
                <w:lang w:eastAsia="en-US"/>
              </w:rPr>
              <w:t>sFlt-1/</w:t>
            </w:r>
            <w:proofErr w:type="spellStart"/>
            <w:r>
              <w:rPr>
                <w:rFonts w:ascii="Times" w:hAnsi="Times" w:cs="Times"/>
                <w:b/>
                <w:lang w:eastAsia="en-US"/>
              </w:rPr>
              <w:t>PlGF</w:t>
            </w:r>
            <w:proofErr w:type="spellEnd"/>
            <w:r>
              <w:rPr>
                <w:rFonts w:ascii="Times" w:hAnsi="Times" w:cs="Times"/>
                <w:b/>
                <w:lang w:eastAsia="en-US"/>
              </w:rPr>
              <w:t xml:space="preserve"> ratio</w:t>
            </w:r>
            <w:r>
              <w:rPr>
                <w:rFonts w:ascii="Times" w:hAnsi="Times" w:cs="Times"/>
                <w:lang w:eastAsia="en-US"/>
              </w:rPr>
              <w:t>, Median (IQR)</w:t>
            </w:r>
          </w:p>
        </w:tc>
        <w:tc>
          <w:tcPr>
            <w:tcW w:w="2623" w:type="dxa"/>
            <w:tcBorders>
              <w:top w:val="single" w:sz="4" w:space="0" w:color="auto"/>
              <w:left w:val="single" w:sz="4" w:space="0" w:color="auto"/>
              <w:bottom w:val="single" w:sz="4" w:space="0" w:color="auto"/>
              <w:right w:val="single" w:sz="4" w:space="0" w:color="auto"/>
            </w:tcBorders>
            <w:hideMark/>
          </w:tcPr>
          <w:p w14:paraId="5E0BE553" w14:textId="77777777" w:rsidR="00463530" w:rsidRDefault="00463530">
            <w:pPr>
              <w:spacing w:line="256" w:lineRule="auto"/>
              <w:jc w:val="center"/>
              <w:rPr>
                <w:rFonts w:ascii="Times" w:hAnsi="Times" w:cs="Times"/>
                <w:lang w:eastAsia="en-US"/>
              </w:rPr>
            </w:pPr>
            <w:r>
              <w:rPr>
                <w:rFonts w:ascii="Times" w:hAnsi="Times" w:cs="Times"/>
                <w:lang w:eastAsia="en-US"/>
              </w:rPr>
              <w:t>0.89 (0.56 – 1.44)</w:t>
            </w:r>
          </w:p>
        </w:tc>
        <w:tc>
          <w:tcPr>
            <w:tcW w:w="2433" w:type="dxa"/>
            <w:tcBorders>
              <w:top w:val="single" w:sz="4" w:space="0" w:color="auto"/>
              <w:left w:val="single" w:sz="4" w:space="0" w:color="auto"/>
              <w:bottom w:val="single" w:sz="4" w:space="0" w:color="auto"/>
              <w:right w:val="single" w:sz="4" w:space="0" w:color="auto"/>
            </w:tcBorders>
            <w:hideMark/>
          </w:tcPr>
          <w:p w14:paraId="09698017" w14:textId="77777777" w:rsidR="00463530" w:rsidRDefault="00463530">
            <w:pPr>
              <w:spacing w:line="256" w:lineRule="auto"/>
              <w:jc w:val="center"/>
              <w:rPr>
                <w:rFonts w:ascii="Times" w:hAnsi="Times" w:cs="Times"/>
                <w:lang w:eastAsia="en-US"/>
              </w:rPr>
            </w:pPr>
            <w:r>
              <w:rPr>
                <w:rFonts w:ascii="Times" w:hAnsi="Times" w:cs="Times"/>
                <w:lang w:eastAsia="en-US"/>
              </w:rPr>
              <w:t>2.11 (1.82 – 2.35</w:t>
            </w:r>
          </w:p>
        </w:tc>
      </w:tr>
      <w:tr w:rsidR="00463530" w14:paraId="5C231FCA"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1DA9C4DF" w14:textId="77777777" w:rsidR="00463530" w:rsidRDefault="00463530">
            <w:pPr>
              <w:spacing w:line="256" w:lineRule="auto"/>
              <w:rPr>
                <w:rFonts w:ascii="Times" w:hAnsi="Times" w:cs="Times"/>
                <w:b/>
                <w:lang w:eastAsia="en-US"/>
              </w:rPr>
            </w:pPr>
            <w:r>
              <w:rPr>
                <w:rFonts w:ascii="Times" w:hAnsi="Times" w:cs="Times"/>
                <w:b/>
                <w:lang w:eastAsia="en-US"/>
              </w:rPr>
              <w:t>sFlt-1/</w:t>
            </w:r>
            <w:proofErr w:type="spellStart"/>
            <w:r>
              <w:rPr>
                <w:rFonts w:ascii="Times" w:hAnsi="Times" w:cs="Times"/>
                <w:b/>
                <w:lang w:eastAsia="en-US"/>
              </w:rPr>
              <w:t>PlGF</w:t>
            </w:r>
            <w:proofErr w:type="spellEnd"/>
            <w:r>
              <w:rPr>
                <w:rFonts w:ascii="Times" w:hAnsi="Times" w:cs="Times"/>
                <w:b/>
                <w:lang w:eastAsia="en-US"/>
              </w:rPr>
              <w:t xml:space="preserve"> cut off</w:t>
            </w:r>
          </w:p>
        </w:tc>
        <w:tc>
          <w:tcPr>
            <w:tcW w:w="2623" w:type="dxa"/>
            <w:tcBorders>
              <w:top w:val="single" w:sz="4" w:space="0" w:color="auto"/>
              <w:left w:val="single" w:sz="4" w:space="0" w:color="auto"/>
              <w:bottom w:val="single" w:sz="4" w:space="0" w:color="auto"/>
              <w:right w:val="single" w:sz="4" w:space="0" w:color="auto"/>
            </w:tcBorders>
          </w:tcPr>
          <w:p w14:paraId="14F2605A" w14:textId="77777777" w:rsidR="00463530" w:rsidRDefault="00463530">
            <w:pPr>
              <w:spacing w:line="256" w:lineRule="auto"/>
              <w:jc w:val="center"/>
              <w:rPr>
                <w:rFonts w:ascii="Times" w:hAnsi="Times" w:cs="Times"/>
                <w:lang w:eastAsia="en-US"/>
              </w:rPr>
            </w:pPr>
          </w:p>
        </w:tc>
        <w:tc>
          <w:tcPr>
            <w:tcW w:w="2433" w:type="dxa"/>
            <w:tcBorders>
              <w:top w:val="single" w:sz="4" w:space="0" w:color="auto"/>
              <w:left w:val="single" w:sz="4" w:space="0" w:color="auto"/>
              <w:bottom w:val="single" w:sz="4" w:space="0" w:color="auto"/>
              <w:right w:val="single" w:sz="4" w:space="0" w:color="auto"/>
            </w:tcBorders>
          </w:tcPr>
          <w:p w14:paraId="31671F28" w14:textId="77777777" w:rsidR="00463530" w:rsidRDefault="00463530">
            <w:pPr>
              <w:spacing w:line="256" w:lineRule="auto"/>
              <w:jc w:val="center"/>
              <w:rPr>
                <w:rFonts w:ascii="Times" w:hAnsi="Times" w:cs="Times"/>
                <w:lang w:eastAsia="en-US"/>
              </w:rPr>
            </w:pPr>
          </w:p>
        </w:tc>
      </w:tr>
      <w:tr w:rsidR="00463530" w14:paraId="03728308"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4A87758E" w14:textId="77777777" w:rsidR="00463530" w:rsidRDefault="00463530">
            <w:pPr>
              <w:spacing w:line="256" w:lineRule="auto"/>
              <w:jc w:val="center"/>
              <w:rPr>
                <w:rFonts w:ascii="Times" w:hAnsi="Times" w:cs="Times"/>
                <w:lang w:eastAsia="en-US"/>
              </w:rPr>
            </w:pPr>
            <w:r>
              <w:rPr>
                <w:rFonts w:ascii="Times" w:hAnsi="Times" w:cs="Times"/>
                <w:lang w:eastAsia="en-US"/>
              </w:rPr>
              <w:t>Ratio ≤ 38</w:t>
            </w:r>
          </w:p>
        </w:tc>
        <w:tc>
          <w:tcPr>
            <w:tcW w:w="2623" w:type="dxa"/>
            <w:tcBorders>
              <w:top w:val="single" w:sz="4" w:space="0" w:color="auto"/>
              <w:left w:val="single" w:sz="4" w:space="0" w:color="auto"/>
              <w:bottom w:val="single" w:sz="4" w:space="0" w:color="auto"/>
              <w:right w:val="single" w:sz="4" w:space="0" w:color="auto"/>
            </w:tcBorders>
            <w:hideMark/>
          </w:tcPr>
          <w:p w14:paraId="49B59503" w14:textId="77777777" w:rsidR="00463530" w:rsidRDefault="00463530">
            <w:pPr>
              <w:spacing w:line="256" w:lineRule="auto"/>
              <w:jc w:val="center"/>
              <w:rPr>
                <w:rFonts w:ascii="Times" w:hAnsi="Times" w:cs="Times"/>
                <w:lang w:eastAsia="en-US"/>
              </w:rPr>
            </w:pPr>
            <w:r>
              <w:rPr>
                <w:rFonts w:ascii="Times" w:hAnsi="Times" w:cs="Times"/>
                <w:lang w:eastAsia="en-US"/>
              </w:rPr>
              <w:t>256 (78.1%)</w:t>
            </w:r>
          </w:p>
        </w:tc>
        <w:tc>
          <w:tcPr>
            <w:tcW w:w="2433" w:type="dxa"/>
            <w:tcBorders>
              <w:top w:val="single" w:sz="4" w:space="0" w:color="auto"/>
              <w:left w:val="single" w:sz="4" w:space="0" w:color="auto"/>
              <w:bottom w:val="single" w:sz="4" w:space="0" w:color="auto"/>
              <w:right w:val="single" w:sz="4" w:space="0" w:color="auto"/>
            </w:tcBorders>
            <w:hideMark/>
          </w:tcPr>
          <w:p w14:paraId="5622786B" w14:textId="77777777" w:rsidR="00463530" w:rsidRDefault="00463530">
            <w:pPr>
              <w:spacing w:line="256" w:lineRule="auto"/>
              <w:jc w:val="center"/>
              <w:rPr>
                <w:rFonts w:ascii="Times" w:hAnsi="Times" w:cs="Times"/>
                <w:lang w:eastAsia="en-US"/>
              </w:rPr>
            </w:pPr>
            <w:r>
              <w:rPr>
                <w:rFonts w:ascii="Times" w:hAnsi="Times" w:cs="Times"/>
                <w:lang w:eastAsia="en-US"/>
              </w:rPr>
              <w:t>1 (2.4%)</w:t>
            </w:r>
          </w:p>
        </w:tc>
      </w:tr>
      <w:tr w:rsidR="00463530" w14:paraId="21A71952" w14:textId="77777777" w:rsidTr="00463530">
        <w:trPr>
          <w:trHeight w:val="190"/>
        </w:trPr>
        <w:tc>
          <w:tcPr>
            <w:tcW w:w="3970" w:type="dxa"/>
            <w:tcBorders>
              <w:top w:val="single" w:sz="4" w:space="0" w:color="auto"/>
              <w:left w:val="single" w:sz="4" w:space="0" w:color="auto"/>
              <w:bottom w:val="single" w:sz="4" w:space="0" w:color="auto"/>
              <w:right w:val="single" w:sz="4" w:space="0" w:color="auto"/>
            </w:tcBorders>
            <w:hideMark/>
          </w:tcPr>
          <w:p w14:paraId="5B197B6F" w14:textId="77777777" w:rsidR="00463530" w:rsidRDefault="00463530">
            <w:pPr>
              <w:spacing w:line="256" w:lineRule="auto"/>
              <w:jc w:val="center"/>
              <w:rPr>
                <w:rFonts w:ascii="Times" w:hAnsi="Times" w:cs="Times"/>
                <w:lang w:eastAsia="en-US"/>
              </w:rPr>
            </w:pPr>
            <w:r>
              <w:rPr>
                <w:rFonts w:ascii="Times" w:hAnsi="Times" w:cs="Times"/>
                <w:lang w:eastAsia="en-US"/>
              </w:rPr>
              <w:t>Ratio &gt;38</w:t>
            </w:r>
          </w:p>
        </w:tc>
        <w:tc>
          <w:tcPr>
            <w:tcW w:w="2623" w:type="dxa"/>
            <w:tcBorders>
              <w:top w:val="single" w:sz="4" w:space="0" w:color="auto"/>
              <w:left w:val="single" w:sz="4" w:space="0" w:color="auto"/>
              <w:bottom w:val="single" w:sz="4" w:space="0" w:color="auto"/>
              <w:right w:val="single" w:sz="4" w:space="0" w:color="auto"/>
            </w:tcBorders>
            <w:hideMark/>
          </w:tcPr>
          <w:p w14:paraId="7BA12DA2" w14:textId="77777777" w:rsidR="00463530" w:rsidRDefault="00463530">
            <w:pPr>
              <w:spacing w:line="256" w:lineRule="auto"/>
              <w:jc w:val="center"/>
              <w:rPr>
                <w:rFonts w:ascii="Times" w:hAnsi="Times" w:cs="Times"/>
                <w:lang w:eastAsia="en-US"/>
              </w:rPr>
            </w:pPr>
            <w:r>
              <w:rPr>
                <w:rFonts w:ascii="Times" w:hAnsi="Times" w:cs="Times"/>
                <w:lang w:eastAsia="en-US"/>
              </w:rPr>
              <w:t>72 (21.9%)</w:t>
            </w:r>
          </w:p>
        </w:tc>
        <w:tc>
          <w:tcPr>
            <w:tcW w:w="2433" w:type="dxa"/>
            <w:tcBorders>
              <w:top w:val="single" w:sz="4" w:space="0" w:color="auto"/>
              <w:left w:val="single" w:sz="4" w:space="0" w:color="auto"/>
              <w:bottom w:val="single" w:sz="4" w:space="0" w:color="auto"/>
              <w:right w:val="single" w:sz="4" w:space="0" w:color="auto"/>
            </w:tcBorders>
            <w:hideMark/>
          </w:tcPr>
          <w:p w14:paraId="716097A9" w14:textId="77777777" w:rsidR="00463530" w:rsidRDefault="00463530">
            <w:pPr>
              <w:spacing w:line="256" w:lineRule="auto"/>
              <w:jc w:val="center"/>
              <w:rPr>
                <w:rFonts w:ascii="Times" w:hAnsi="Times" w:cs="Times"/>
                <w:lang w:eastAsia="en-US"/>
              </w:rPr>
            </w:pPr>
            <w:r>
              <w:rPr>
                <w:rFonts w:ascii="Times" w:hAnsi="Times" w:cs="Times"/>
                <w:lang w:eastAsia="en-US"/>
              </w:rPr>
              <w:t>41 (97.6%)</w:t>
            </w:r>
          </w:p>
        </w:tc>
      </w:tr>
    </w:tbl>
    <w:p w14:paraId="541F12CD" w14:textId="77777777" w:rsidR="00463530" w:rsidRDefault="00463530">
      <w:pPr>
        <w:keepNext/>
        <w:pBdr>
          <w:top w:val="none" w:sz="0" w:space="0" w:color="000000"/>
          <w:left w:val="none" w:sz="0" w:space="0" w:color="000000"/>
          <w:bottom w:val="none" w:sz="0" w:space="0" w:color="000000"/>
          <w:right w:val="none" w:sz="0" w:space="0" w:color="000000"/>
          <w:between w:val="none" w:sz="0" w:space="0" w:color="000000"/>
        </w:pBdr>
        <w:spacing w:after="200" w:line="480" w:lineRule="auto"/>
        <w:jc w:val="both"/>
        <w:rPr>
          <w:rFonts w:ascii="Times" w:eastAsia="Times" w:hAnsi="Times" w:cs="Times"/>
          <w:b/>
          <w:color w:val="000000"/>
        </w:rPr>
      </w:pPr>
    </w:p>
    <w:p w14:paraId="59C9F709" w14:textId="6EE4A1C6" w:rsidR="002D3616" w:rsidRDefault="003470FA">
      <w:pPr>
        <w:keepNext/>
        <w:pBdr>
          <w:top w:val="none" w:sz="0" w:space="0" w:color="000000"/>
          <w:left w:val="none" w:sz="0" w:space="0" w:color="000000"/>
          <w:bottom w:val="none" w:sz="0" w:space="0" w:color="000000"/>
          <w:right w:val="none" w:sz="0" w:space="0" w:color="000000"/>
          <w:between w:val="none" w:sz="0" w:space="0" w:color="000000"/>
        </w:pBdr>
        <w:spacing w:after="200" w:line="480" w:lineRule="auto"/>
        <w:jc w:val="both"/>
        <w:rPr>
          <w:rFonts w:ascii="Times" w:eastAsia="Times" w:hAnsi="Times" w:cs="Times"/>
          <w:i/>
          <w:color w:val="000000"/>
        </w:rPr>
      </w:pPr>
      <w:r>
        <w:rPr>
          <w:rFonts w:ascii="Times" w:eastAsia="Times" w:hAnsi="Times" w:cs="Times"/>
          <w:b/>
          <w:color w:val="000000"/>
        </w:rPr>
        <w:t>Table 1. Baseline characteristics of study population (n=370)</w:t>
      </w:r>
    </w:p>
    <w:p w14:paraId="3416FFDE"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SD-standard deviation, PIGF - Placental growth factor; sFlt-1 - Soluble </w:t>
      </w:r>
      <w:proofErr w:type="spellStart"/>
      <w:r>
        <w:rPr>
          <w:rFonts w:ascii="Times" w:eastAsia="Times" w:hAnsi="Times" w:cs="Times"/>
          <w:color w:val="000000"/>
        </w:rPr>
        <w:t>fms</w:t>
      </w:r>
      <w:proofErr w:type="spellEnd"/>
      <w:r>
        <w:rPr>
          <w:rFonts w:ascii="Times" w:eastAsia="Times" w:hAnsi="Times" w:cs="Times"/>
          <w:color w:val="000000"/>
        </w:rPr>
        <w:t>-like tyrosine kinase – 1, IQR-interquartile range, BMI- Body mass index, BP-blood pressure, * sFlt-1, PIGF and the sFlt-1/PIGF ratio reported on natural log scale</w:t>
      </w:r>
    </w:p>
    <w:p w14:paraId="7162BB31" w14:textId="77777777" w:rsidR="002D3616" w:rsidRDefault="002D3616">
      <w:pPr>
        <w:spacing w:line="480" w:lineRule="auto"/>
        <w:jc w:val="both"/>
        <w:rPr>
          <w:rFonts w:ascii="Times" w:eastAsia="Times" w:hAnsi="Times" w:cs="Times"/>
          <w:color w:val="000000"/>
        </w:rPr>
      </w:pPr>
    </w:p>
    <w:p w14:paraId="73B434F1" w14:textId="77777777" w:rsidR="002D3616" w:rsidRDefault="003470FA">
      <w:pPr>
        <w:pBdr>
          <w:top w:val="nil"/>
          <w:left w:val="nil"/>
          <w:bottom w:val="nil"/>
          <w:right w:val="nil"/>
          <w:between w:val="nil"/>
        </w:pBdr>
        <w:spacing w:line="480" w:lineRule="auto"/>
        <w:jc w:val="both"/>
        <w:rPr>
          <w:rFonts w:ascii="Times" w:eastAsia="Times" w:hAnsi="Times" w:cs="Times"/>
          <w:b/>
          <w:color w:val="000000"/>
        </w:rPr>
      </w:pPr>
      <w:bookmarkStart w:id="11" w:name="_heading=h.3rdcrjn" w:colFirst="0" w:colLast="0"/>
      <w:bookmarkEnd w:id="11"/>
      <w:r>
        <w:rPr>
          <w:rFonts w:ascii="Times" w:eastAsia="Times" w:hAnsi="Times" w:cs="Times"/>
          <w:b/>
          <w:color w:val="000000"/>
        </w:rPr>
        <w:t xml:space="preserve">Model development and performance </w:t>
      </w:r>
    </w:p>
    <w:p w14:paraId="6360025A" w14:textId="20BEC87C" w:rsidR="002D3616" w:rsidRDefault="006E37FE">
      <w:pPr>
        <w:spacing w:line="480" w:lineRule="auto"/>
        <w:jc w:val="both"/>
        <w:rPr>
          <w:rFonts w:ascii="Times" w:eastAsia="Times" w:hAnsi="Times" w:cs="Times"/>
          <w:color w:val="000000"/>
        </w:rPr>
      </w:pPr>
      <w:bookmarkStart w:id="12" w:name="_heading=h.26in1rg" w:colFirst="0" w:colLast="0"/>
      <w:bookmarkEnd w:id="12"/>
      <w:r>
        <w:rPr>
          <w:rFonts w:ascii="Times" w:eastAsia="Times" w:hAnsi="Times" w:cs="Times"/>
          <w:color w:val="000000"/>
        </w:rPr>
        <w:t xml:space="preserve">The fitted models are presented in </w:t>
      </w:r>
      <w:r w:rsidR="0024733D">
        <w:rPr>
          <w:rFonts w:ascii="Times" w:eastAsia="Times" w:hAnsi="Times" w:cs="Times"/>
          <w:color w:val="000000"/>
        </w:rPr>
        <w:t>t</w:t>
      </w:r>
      <w:r>
        <w:rPr>
          <w:rFonts w:ascii="Times" w:eastAsia="Times" w:hAnsi="Times" w:cs="Times"/>
          <w:color w:val="000000"/>
        </w:rPr>
        <w:t>able 2</w:t>
      </w:r>
      <w:r w:rsidR="0024733D">
        <w:rPr>
          <w:rFonts w:ascii="Times" w:eastAsia="Times" w:hAnsi="Times" w:cs="Times"/>
          <w:color w:val="000000"/>
        </w:rPr>
        <w:t xml:space="preserve"> and the performance measures are presented in tabl</w:t>
      </w:r>
      <w:r w:rsidR="00E508B1">
        <w:rPr>
          <w:rFonts w:ascii="Times" w:eastAsia="Times" w:hAnsi="Times" w:cs="Times"/>
          <w:color w:val="000000"/>
        </w:rPr>
        <w:t>e</w:t>
      </w:r>
      <w:r w:rsidR="0024733D">
        <w:rPr>
          <w:rFonts w:ascii="Times" w:eastAsia="Times" w:hAnsi="Times" w:cs="Times"/>
          <w:color w:val="000000"/>
        </w:rPr>
        <w:t xml:space="preserve"> 3</w:t>
      </w:r>
      <w:r>
        <w:rPr>
          <w:rFonts w:ascii="Times" w:eastAsia="Times" w:hAnsi="Times" w:cs="Times"/>
          <w:color w:val="000000"/>
        </w:rPr>
        <w:t xml:space="preserve">. </w:t>
      </w:r>
      <w:r w:rsidR="003470FA">
        <w:rPr>
          <w:rFonts w:ascii="Times" w:eastAsia="Times" w:hAnsi="Times" w:cs="Times"/>
          <w:color w:val="000000"/>
        </w:rPr>
        <w:t>The sFlt-1 (R</w:t>
      </w:r>
      <w:r w:rsidR="003470FA">
        <w:rPr>
          <w:rFonts w:ascii="Times" w:eastAsia="Times" w:hAnsi="Times" w:cs="Times"/>
          <w:color w:val="000000"/>
          <w:vertAlign w:val="superscript"/>
        </w:rPr>
        <w:t>2</w:t>
      </w:r>
      <w:r w:rsidR="003470FA">
        <w:rPr>
          <w:rFonts w:ascii="Times" w:eastAsia="Times" w:hAnsi="Times" w:cs="Times"/>
          <w:color w:val="000000"/>
        </w:rPr>
        <w:t>=55%, BIC=144) and sFlt-1/PIGF ratio models (R</w:t>
      </w:r>
      <w:r w:rsidR="003470FA">
        <w:rPr>
          <w:rFonts w:ascii="Times" w:eastAsia="Times" w:hAnsi="Times" w:cs="Times"/>
          <w:color w:val="000000"/>
          <w:vertAlign w:val="superscript"/>
        </w:rPr>
        <w:t>2</w:t>
      </w:r>
      <w:r w:rsidR="003470FA">
        <w:rPr>
          <w:rFonts w:ascii="Times" w:eastAsia="Times" w:hAnsi="Times" w:cs="Times"/>
          <w:color w:val="000000"/>
        </w:rPr>
        <w:t>=57%,</w:t>
      </w:r>
      <w:r w:rsidR="003470FA">
        <w:rPr>
          <w:rFonts w:ascii="Times" w:eastAsia="Times" w:hAnsi="Times" w:cs="Times"/>
          <w:i/>
          <w:color w:val="000000"/>
        </w:rPr>
        <w:t xml:space="preserve"> </w:t>
      </w:r>
      <w:r w:rsidR="003470FA">
        <w:rPr>
          <w:rFonts w:ascii="Times" w:eastAsia="Times" w:hAnsi="Times" w:cs="Times"/>
          <w:color w:val="000000"/>
        </w:rPr>
        <w:t>BIC=139) showed higher overall model fit than PIGF model (R</w:t>
      </w:r>
      <w:r w:rsidR="003470FA">
        <w:rPr>
          <w:rFonts w:ascii="Times" w:eastAsia="Times" w:hAnsi="Times" w:cs="Times"/>
          <w:color w:val="000000"/>
          <w:vertAlign w:val="superscript"/>
        </w:rPr>
        <w:t>2</w:t>
      </w:r>
      <w:r w:rsidR="003470FA">
        <w:rPr>
          <w:rFonts w:ascii="Times" w:eastAsia="Times" w:hAnsi="Times" w:cs="Times"/>
          <w:color w:val="000000"/>
        </w:rPr>
        <w:t>=38%, BIC=184) or sFlt-1/</w:t>
      </w:r>
      <w:proofErr w:type="spellStart"/>
      <w:r w:rsidR="003470FA">
        <w:rPr>
          <w:rFonts w:ascii="Times" w:eastAsia="Times" w:hAnsi="Times" w:cs="Times"/>
          <w:color w:val="000000"/>
        </w:rPr>
        <w:t>PlGF</w:t>
      </w:r>
      <w:proofErr w:type="spellEnd"/>
      <w:r w:rsidR="003470FA">
        <w:rPr>
          <w:rFonts w:ascii="Times" w:eastAsia="Times" w:hAnsi="Times" w:cs="Times"/>
          <w:color w:val="000000"/>
        </w:rPr>
        <w:t xml:space="preserve"> ratio using a binary cut-off of 38 model (R</w:t>
      </w:r>
      <w:r w:rsidR="003470FA">
        <w:rPr>
          <w:rFonts w:ascii="Times" w:eastAsia="Times" w:hAnsi="Times" w:cs="Times"/>
          <w:color w:val="000000"/>
          <w:vertAlign w:val="superscript"/>
        </w:rPr>
        <w:t>2</w:t>
      </w:r>
      <w:r w:rsidR="003470FA">
        <w:rPr>
          <w:rFonts w:ascii="Times" w:eastAsia="Times" w:hAnsi="Times" w:cs="Times"/>
          <w:color w:val="000000"/>
        </w:rPr>
        <w:t xml:space="preserve">=46%, BIC=166). </w:t>
      </w:r>
    </w:p>
    <w:p w14:paraId="754719D3" w14:textId="1F39C52F" w:rsidR="002D3616" w:rsidRDefault="003470FA">
      <w:pPr>
        <w:spacing w:line="480" w:lineRule="auto"/>
        <w:jc w:val="both"/>
        <w:rPr>
          <w:rFonts w:ascii="Times" w:eastAsia="Times" w:hAnsi="Times" w:cs="Times"/>
          <w:b/>
          <w:i/>
          <w:color w:val="000000"/>
        </w:rPr>
      </w:pPr>
      <w:r>
        <w:rPr>
          <w:rFonts w:ascii="Times" w:eastAsia="Times" w:hAnsi="Times" w:cs="Times"/>
          <w:color w:val="000000"/>
        </w:rPr>
        <w:lastRenderedPageBreak/>
        <w:t xml:space="preserve">The mean predictions (CITL) for PE were close to zero for all models. (Table </w:t>
      </w:r>
      <w:r w:rsidR="00811D3D">
        <w:rPr>
          <w:rFonts w:ascii="Times" w:eastAsia="Times" w:hAnsi="Times" w:cs="Times"/>
          <w:color w:val="000000"/>
        </w:rPr>
        <w:t>3</w:t>
      </w:r>
      <w:r>
        <w:rPr>
          <w:rFonts w:ascii="Times" w:eastAsia="Times" w:hAnsi="Times" w:cs="Times"/>
          <w:color w:val="000000"/>
        </w:rPr>
        <w:t xml:space="preserve">). </w:t>
      </w:r>
      <w:r>
        <w:rPr>
          <w:rFonts w:ascii="Times" w:eastAsia="Times" w:hAnsi="Times" w:cs="Times"/>
          <w:color w:val="000000"/>
          <w:highlight w:val="white"/>
        </w:rPr>
        <w:t xml:space="preserve"> The </w:t>
      </w:r>
      <w:r>
        <w:rPr>
          <w:rFonts w:ascii="Times" w:eastAsia="Times" w:hAnsi="Times" w:cs="Times"/>
          <w:color w:val="000000"/>
        </w:rPr>
        <w:t xml:space="preserve">sFlt-1, </w:t>
      </w:r>
      <w:proofErr w:type="spellStart"/>
      <w:r>
        <w:rPr>
          <w:rFonts w:ascii="Times" w:eastAsia="Times" w:hAnsi="Times" w:cs="Times"/>
          <w:color w:val="000000"/>
        </w:rPr>
        <w:t>PlGF</w:t>
      </w:r>
      <w:proofErr w:type="spellEnd"/>
      <w:r>
        <w:rPr>
          <w:rFonts w:ascii="Times" w:eastAsia="Times" w:hAnsi="Times" w:cs="Times"/>
          <w:color w:val="000000"/>
        </w:rPr>
        <w:t xml:space="preserve"> and sFlt-1/</w:t>
      </w:r>
      <w:proofErr w:type="spellStart"/>
      <w:r>
        <w:rPr>
          <w:rFonts w:ascii="Times" w:eastAsia="Times" w:hAnsi="Times" w:cs="Times"/>
          <w:color w:val="000000"/>
        </w:rPr>
        <w:t>PlGF</w:t>
      </w:r>
      <w:proofErr w:type="spellEnd"/>
      <w:r>
        <w:rPr>
          <w:rFonts w:ascii="Times" w:eastAsia="Times" w:hAnsi="Times" w:cs="Times"/>
          <w:color w:val="000000"/>
        </w:rPr>
        <w:t xml:space="preserve"> ratio (continuous) models all had calibration slope close to 1 (slope&gt;=0.98) with the exception of sFlt-1/</w:t>
      </w:r>
      <w:proofErr w:type="spellStart"/>
      <w:r>
        <w:rPr>
          <w:rFonts w:ascii="Times" w:eastAsia="Times" w:hAnsi="Times" w:cs="Times"/>
          <w:color w:val="000000"/>
        </w:rPr>
        <w:t>PlGF</w:t>
      </w:r>
      <w:proofErr w:type="spellEnd"/>
      <w:r>
        <w:rPr>
          <w:rFonts w:ascii="Times" w:eastAsia="Times" w:hAnsi="Times" w:cs="Times"/>
          <w:color w:val="000000"/>
        </w:rPr>
        <w:t xml:space="preserve"> ratio using a binary cut-off of 38 model having the lowest value (slope=0.84) (Figure 1 and Table </w:t>
      </w:r>
      <w:r w:rsidR="00811D3D">
        <w:rPr>
          <w:rFonts w:ascii="Times" w:eastAsia="Times" w:hAnsi="Times" w:cs="Times"/>
          <w:color w:val="000000"/>
        </w:rPr>
        <w:t>3</w:t>
      </w:r>
      <w:r>
        <w:rPr>
          <w:rFonts w:ascii="Times" w:eastAsia="Times" w:hAnsi="Times" w:cs="Times"/>
          <w:color w:val="000000"/>
        </w:rPr>
        <w:t>).</w:t>
      </w:r>
      <w:r>
        <w:rPr>
          <w:rFonts w:ascii="Times" w:eastAsia="Times" w:hAnsi="Times" w:cs="Times"/>
          <w:color w:val="000000"/>
          <w:highlight w:val="white"/>
        </w:rPr>
        <w:t xml:space="preserve"> </w:t>
      </w:r>
      <w:r>
        <w:rPr>
          <w:rFonts w:ascii="Times" w:eastAsia="Times" w:hAnsi="Times" w:cs="Times"/>
          <w:color w:val="000000"/>
        </w:rPr>
        <w:t>Model discrimination was ≥0.87 across all models (c-statistic for: sFlt-1 =0.94, PIGF=0.87, sFlt-1/PIGF ratio=0.94, sFlt-1/</w:t>
      </w:r>
      <w:proofErr w:type="spellStart"/>
      <w:r>
        <w:rPr>
          <w:rFonts w:ascii="Times" w:eastAsia="Times" w:hAnsi="Times" w:cs="Times"/>
          <w:color w:val="000000"/>
        </w:rPr>
        <w:t>PlGF</w:t>
      </w:r>
      <w:proofErr w:type="spellEnd"/>
      <w:r>
        <w:rPr>
          <w:rFonts w:ascii="Times" w:eastAsia="Times" w:hAnsi="Times" w:cs="Times"/>
          <w:color w:val="000000"/>
        </w:rPr>
        <w:t xml:space="preserve"> ratio using a binary cut-off of 38 model=0.88) (Table </w:t>
      </w:r>
      <w:r w:rsidR="00811D3D">
        <w:rPr>
          <w:rFonts w:ascii="Times" w:eastAsia="Times" w:hAnsi="Times" w:cs="Times"/>
          <w:color w:val="000000"/>
        </w:rPr>
        <w:t>3</w:t>
      </w:r>
      <w:r>
        <w:rPr>
          <w:rFonts w:ascii="Times" w:eastAsia="Times" w:hAnsi="Times" w:cs="Times"/>
          <w:color w:val="000000"/>
        </w:rPr>
        <w:t>).</w:t>
      </w:r>
    </w:p>
    <w:p w14:paraId="43B69968" w14:textId="77777777" w:rsidR="002D3616" w:rsidRDefault="003470FA">
      <w:pPr>
        <w:spacing w:line="480" w:lineRule="auto"/>
        <w:jc w:val="both"/>
        <w:rPr>
          <w:rFonts w:ascii="Times" w:eastAsia="Times" w:hAnsi="Times" w:cs="Times"/>
          <w:color w:val="000000"/>
        </w:rPr>
      </w:pPr>
      <w:r>
        <w:rPr>
          <w:rFonts w:ascii="Times" w:eastAsia="Times" w:hAnsi="Times" w:cs="Times"/>
          <w:noProof/>
          <w:color w:val="000000"/>
        </w:rPr>
        <w:drawing>
          <wp:inline distT="0" distB="0" distL="0" distR="0" wp14:anchorId="5542D3BC" wp14:editId="7FC1B17A">
            <wp:extent cx="5731510" cy="4453255"/>
            <wp:effectExtent l="0" t="0" r="0" b="0"/>
            <wp:docPr id="59"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line chart&#10;&#10;Description automatically generated"/>
                    <pic:cNvPicPr preferRelativeResize="0"/>
                  </pic:nvPicPr>
                  <pic:blipFill>
                    <a:blip r:embed="rId12"/>
                    <a:srcRect/>
                    <a:stretch>
                      <a:fillRect/>
                    </a:stretch>
                  </pic:blipFill>
                  <pic:spPr>
                    <a:xfrm>
                      <a:off x="0" y="0"/>
                      <a:ext cx="5731510" cy="445325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4C2A1E3" wp14:editId="79C95202">
                <wp:simplePos x="0" y="0"/>
                <wp:positionH relativeFrom="column">
                  <wp:posOffset>1485900</wp:posOffset>
                </wp:positionH>
                <wp:positionV relativeFrom="paragraph">
                  <wp:posOffset>1308100</wp:posOffset>
                </wp:positionV>
                <wp:extent cx="692150" cy="535940"/>
                <wp:effectExtent l="0" t="0" r="0" b="0"/>
                <wp:wrapNone/>
                <wp:docPr id="58" name="Rectangle 58"/>
                <wp:cNvGraphicFramePr/>
                <a:graphic xmlns:a="http://schemas.openxmlformats.org/drawingml/2006/main">
                  <a:graphicData uri="http://schemas.microsoft.com/office/word/2010/wordprocessingShape">
                    <wps:wsp>
                      <wps:cNvSpPr/>
                      <wps:spPr>
                        <a:xfrm>
                          <a:off x="5019016" y="3531144"/>
                          <a:ext cx="653969" cy="497712"/>
                        </a:xfrm>
                        <a:prstGeom prst="rect">
                          <a:avLst/>
                        </a:prstGeom>
                        <a:noFill/>
                        <a:ln>
                          <a:noFill/>
                        </a:ln>
                      </wps:spPr>
                      <wps:txbx>
                        <w:txbxContent>
                          <w:p w14:paraId="29DB7F5E" w14:textId="77777777" w:rsidR="000F5816" w:rsidRDefault="000F5816">
                            <w:pPr>
                              <w:spacing w:line="360" w:lineRule="auto"/>
                              <w:textDirection w:val="btLr"/>
                            </w:pPr>
                            <w:r>
                              <w:rPr>
                                <w:color w:val="000000"/>
                                <w:sz w:val="20"/>
                              </w:rPr>
                              <w:t>A=</w:t>
                            </w:r>
                            <w:r>
                              <w:rPr>
                                <w:color w:val="000000"/>
                              </w:rPr>
                              <w:t>0.98</w:t>
                            </w:r>
                          </w:p>
                          <w:p w14:paraId="64B20D97" w14:textId="77777777" w:rsidR="000F5816" w:rsidRDefault="000F5816">
                            <w:pPr>
                              <w:spacing w:line="360" w:lineRule="auto"/>
                              <w:textDirection w:val="btLr"/>
                            </w:pPr>
                            <w:r>
                              <w:rPr>
                                <w:color w:val="000000"/>
                                <w:sz w:val="20"/>
                              </w:rPr>
                              <w:t>B=</w:t>
                            </w:r>
                            <w:r>
                              <w:rPr>
                                <w:color w:val="000000"/>
                              </w:rPr>
                              <w:t>0.94</w:t>
                            </w:r>
                          </w:p>
                        </w:txbxContent>
                      </wps:txbx>
                      <wps:bodyPr spcFirstLastPara="1" wrap="square" lIns="91425" tIns="45700" rIns="91425" bIns="45700" anchor="t" anchorCtr="0">
                        <a:noAutofit/>
                      </wps:bodyPr>
                    </wps:wsp>
                  </a:graphicData>
                </a:graphic>
              </wp:anchor>
            </w:drawing>
          </mc:Choice>
          <mc:Fallback>
            <w:pict>
              <v:rect w14:anchorId="44C2A1E3" id="Rectangle 58" o:spid="_x0000_s1026" style="position:absolute;left:0;text-align:left;margin-left:117pt;margin-top:103pt;width:54.5pt;height:42.2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" filled="f" stroked="f">
                <v:textbox inset="2.53958mm,1.2694mm,2.53958mm,1.2694mm">
                  <w:txbxContent>
                    <w:p w14:paraId="29DB7F5E" w14:textId="77777777" w:rsidR="000F5816" w:rsidRDefault="000F5816">
                      <w:pPr>
                        <w:spacing w:line="360" w:lineRule="auto"/>
                        <w:textDirection w:val="btLr"/>
                      </w:pPr>
                      <w:r>
                        <w:rPr>
                          <w:color w:val="000000"/>
                          <w:sz w:val="20"/>
                        </w:rPr>
                        <w:t>A=</w:t>
                      </w:r>
                      <w:r>
                        <w:rPr>
                          <w:color w:val="000000"/>
                        </w:rPr>
                        <w:t>0.98</w:t>
                      </w:r>
                    </w:p>
                    <w:p w14:paraId="64B20D97" w14:textId="77777777" w:rsidR="000F5816" w:rsidRDefault="000F5816">
                      <w:pPr>
                        <w:spacing w:line="360" w:lineRule="auto"/>
                        <w:textDirection w:val="btLr"/>
                      </w:pPr>
                      <w:r>
                        <w:rPr>
                          <w:color w:val="000000"/>
                          <w:sz w:val="20"/>
                        </w:rPr>
                        <w:t>B=</w:t>
                      </w:r>
                      <w:r>
                        <w:rPr>
                          <w:color w:val="000000"/>
                        </w:rPr>
                        <w:t>0.94</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3B5C210B" wp14:editId="586C88D3">
                <wp:simplePos x="0" y="0"/>
                <wp:positionH relativeFrom="column">
                  <wp:posOffset>4953000</wp:posOffset>
                </wp:positionH>
                <wp:positionV relativeFrom="paragraph">
                  <wp:posOffset>1282700</wp:posOffset>
                </wp:positionV>
                <wp:extent cx="709295" cy="553085"/>
                <wp:effectExtent l="0" t="0" r="0" b="0"/>
                <wp:wrapNone/>
                <wp:docPr id="57" name="Rectangle 57"/>
                <wp:cNvGraphicFramePr/>
                <a:graphic xmlns:a="http://schemas.openxmlformats.org/drawingml/2006/main">
                  <a:graphicData uri="http://schemas.microsoft.com/office/word/2010/wordprocessingShape">
                    <wps:wsp>
                      <wps:cNvSpPr/>
                      <wps:spPr>
                        <a:xfrm>
                          <a:off x="5010334" y="3522463"/>
                          <a:ext cx="671332" cy="515074"/>
                        </a:xfrm>
                        <a:prstGeom prst="rect">
                          <a:avLst/>
                        </a:prstGeom>
                        <a:noFill/>
                        <a:ln>
                          <a:noFill/>
                        </a:ln>
                      </wps:spPr>
                      <wps:txbx>
                        <w:txbxContent>
                          <w:p w14:paraId="759F7663" w14:textId="77777777" w:rsidR="000F5816" w:rsidRDefault="000F5816">
                            <w:pPr>
                              <w:spacing w:line="360" w:lineRule="auto"/>
                              <w:textDirection w:val="btLr"/>
                            </w:pPr>
                            <w:r>
                              <w:rPr>
                                <w:color w:val="000000"/>
                                <w:sz w:val="20"/>
                              </w:rPr>
                              <w:t>A=</w:t>
                            </w:r>
                            <w:r>
                              <w:rPr>
                                <w:color w:val="000000"/>
                              </w:rPr>
                              <w:t>0.99</w:t>
                            </w:r>
                          </w:p>
                          <w:p w14:paraId="018DB3F2" w14:textId="77777777" w:rsidR="000F5816" w:rsidRDefault="000F5816">
                            <w:pPr>
                              <w:spacing w:line="360" w:lineRule="auto"/>
                              <w:textDirection w:val="btLr"/>
                            </w:pPr>
                            <w:r>
                              <w:rPr>
                                <w:color w:val="000000"/>
                                <w:sz w:val="20"/>
                              </w:rPr>
                              <w:t>B=</w:t>
                            </w:r>
                            <w:r>
                              <w:rPr>
                                <w:color w:val="000000"/>
                              </w:rPr>
                              <w:t>0.87</w:t>
                            </w:r>
                          </w:p>
                        </w:txbxContent>
                      </wps:txbx>
                      <wps:bodyPr spcFirstLastPara="1" wrap="square" lIns="91425" tIns="45700" rIns="91425" bIns="45700" anchor="t" anchorCtr="0">
                        <a:noAutofit/>
                      </wps:bodyPr>
                    </wps:wsp>
                  </a:graphicData>
                </a:graphic>
              </wp:anchor>
            </w:drawing>
          </mc:Choice>
          <mc:Fallback>
            <w:pict>
              <v:rect w14:anchorId="3B5C210B" id="Rectangle 57" o:spid="_x0000_s1027" style="position:absolute;left:0;text-align:left;margin-left:390pt;margin-top:101pt;width:55.85pt;height:43.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" filled="f" stroked="f">
                <v:textbox inset="2.53958mm,1.2694mm,2.53958mm,1.2694mm">
                  <w:txbxContent>
                    <w:p w14:paraId="759F7663" w14:textId="77777777" w:rsidR="000F5816" w:rsidRDefault="000F5816">
                      <w:pPr>
                        <w:spacing w:line="360" w:lineRule="auto"/>
                        <w:textDirection w:val="btLr"/>
                      </w:pPr>
                      <w:r>
                        <w:rPr>
                          <w:color w:val="000000"/>
                          <w:sz w:val="20"/>
                        </w:rPr>
                        <w:t>A=</w:t>
                      </w:r>
                      <w:r>
                        <w:rPr>
                          <w:color w:val="000000"/>
                        </w:rPr>
                        <w:t>0.99</w:t>
                      </w:r>
                    </w:p>
                    <w:p w14:paraId="018DB3F2" w14:textId="77777777" w:rsidR="000F5816" w:rsidRDefault="000F5816">
                      <w:pPr>
                        <w:spacing w:line="360" w:lineRule="auto"/>
                        <w:textDirection w:val="btLr"/>
                      </w:pPr>
                      <w:r>
                        <w:rPr>
                          <w:color w:val="000000"/>
                          <w:sz w:val="20"/>
                        </w:rPr>
                        <w:t>B=</w:t>
                      </w:r>
                      <w:r>
                        <w:rPr>
                          <w:color w:val="000000"/>
                        </w:rPr>
                        <w:t>0.87</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56C9DAB9" wp14:editId="18D8BD68">
                <wp:simplePos x="0" y="0"/>
                <wp:positionH relativeFrom="column">
                  <wp:posOffset>1485900</wp:posOffset>
                </wp:positionH>
                <wp:positionV relativeFrom="paragraph">
                  <wp:posOffset>3543300</wp:posOffset>
                </wp:positionV>
                <wp:extent cx="657225" cy="593725"/>
                <wp:effectExtent l="0" t="0" r="0" b="0"/>
                <wp:wrapNone/>
                <wp:docPr id="56" name="Rectangle 56"/>
                <wp:cNvGraphicFramePr/>
                <a:graphic xmlns:a="http://schemas.openxmlformats.org/drawingml/2006/main">
                  <a:graphicData uri="http://schemas.microsoft.com/office/word/2010/wordprocessingShape">
                    <wps:wsp>
                      <wps:cNvSpPr/>
                      <wps:spPr>
                        <a:xfrm>
                          <a:off x="5036377" y="3502208"/>
                          <a:ext cx="619246" cy="555585"/>
                        </a:xfrm>
                        <a:prstGeom prst="rect">
                          <a:avLst/>
                        </a:prstGeom>
                        <a:noFill/>
                        <a:ln>
                          <a:noFill/>
                        </a:ln>
                      </wps:spPr>
                      <wps:txbx>
                        <w:txbxContent>
                          <w:p w14:paraId="245C83F7" w14:textId="77777777" w:rsidR="000F5816" w:rsidRDefault="000F5816">
                            <w:pPr>
                              <w:spacing w:line="360" w:lineRule="auto"/>
                              <w:textDirection w:val="btLr"/>
                            </w:pPr>
                            <w:r>
                              <w:rPr>
                                <w:color w:val="000000"/>
                                <w:sz w:val="20"/>
                              </w:rPr>
                              <w:t>A=</w:t>
                            </w:r>
                            <w:r>
                              <w:rPr>
                                <w:color w:val="000000"/>
                              </w:rPr>
                              <w:t>0.99</w:t>
                            </w:r>
                          </w:p>
                          <w:p w14:paraId="0C3F7356" w14:textId="77777777" w:rsidR="000F5816" w:rsidRDefault="000F5816">
                            <w:pPr>
                              <w:spacing w:line="360" w:lineRule="auto"/>
                              <w:textDirection w:val="btLr"/>
                            </w:pPr>
                            <w:r>
                              <w:rPr>
                                <w:color w:val="000000"/>
                                <w:sz w:val="20"/>
                              </w:rPr>
                              <w:t>B=</w:t>
                            </w:r>
                            <w:r>
                              <w:rPr>
                                <w:color w:val="000000"/>
                              </w:rPr>
                              <w:t>0.94</w:t>
                            </w:r>
                          </w:p>
                        </w:txbxContent>
                      </wps:txbx>
                      <wps:bodyPr spcFirstLastPara="1" wrap="square" lIns="91425" tIns="45700" rIns="91425" bIns="45700" anchor="t" anchorCtr="0">
                        <a:noAutofit/>
                      </wps:bodyPr>
                    </wps:wsp>
                  </a:graphicData>
                </a:graphic>
              </wp:anchor>
            </w:drawing>
          </mc:Choice>
          <mc:Fallback>
            <w:pict>
              <v:rect w14:anchorId="56C9DAB9" id="Rectangle 56" o:spid="_x0000_s1028" style="position:absolute;left:0;text-align:left;margin-left:117pt;margin-top:279pt;width:51.75pt;height:4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" filled="f" stroked="f">
                <v:textbox inset="2.53958mm,1.2694mm,2.53958mm,1.2694mm">
                  <w:txbxContent>
                    <w:p w14:paraId="245C83F7" w14:textId="77777777" w:rsidR="000F5816" w:rsidRDefault="000F5816">
                      <w:pPr>
                        <w:spacing w:line="360" w:lineRule="auto"/>
                        <w:textDirection w:val="btLr"/>
                      </w:pPr>
                      <w:r>
                        <w:rPr>
                          <w:color w:val="000000"/>
                          <w:sz w:val="20"/>
                        </w:rPr>
                        <w:t>A=</w:t>
                      </w:r>
                      <w:r>
                        <w:rPr>
                          <w:color w:val="000000"/>
                        </w:rPr>
                        <w:t>0.99</w:t>
                      </w:r>
                    </w:p>
                    <w:p w14:paraId="0C3F7356" w14:textId="77777777" w:rsidR="000F5816" w:rsidRDefault="000F5816">
                      <w:pPr>
                        <w:spacing w:line="360" w:lineRule="auto"/>
                        <w:textDirection w:val="btLr"/>
                      </w:pPr>
                      <w:r>
                        <w:rPr>
                          <w:color w:val="000000"/>
                          <w:sz w:val="20"/>
                        </w:rPr>
                        <w:t>B=</w:t>
                      </w:r>
                      <w:r>
                        <w:rPr>
                          <w:color w:val="000000"/>
                        </w:rPr>
                        <w:t>0.94</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4DE6FC39" wp14:editId="3166EE73">
                <wp:simplePos x="0" y="0"/>
                <wp:positionH relativeFrom="column">
                  <wp:posOffset>5003800</wp:posOffset>
                </wp:positionH>
                <wp:positionV relativeFrom="paragraph">
                  <wp:posOffset>3505200</wp:posOffset>
                </wp:positionV>
                <wp:extent cx="657225" cy="593725"/>
                <wp:effectExtent l="0" t="0" r="0" b="0"/>
                <wp:wrapNone/>
                <wp:docPr id="55" name="Rectangle 55"/>
                <wp:cNvGraphicFramePr/>
                <a:graphic xmlns:a="http://schemas.openxmlformats.org/drawingml/2006/main">
                  <a:graphicData uri="http://schemas.microsoft.com/office/word/2010/wordprocessingShape">
                    <wps:wsp>
                      <wps:cNvSpPr/>
                      <wps:spPr>
                        <a:xfrm>
                          <a:off x="5036377" y="3502208"/>
                          <a:ext cx="619246" cy="555585"/>
                        </a:xfrm>
                        <a:prstGeom prst="rect">
                          <a:avLst/>
                        </a:prstGeom>
                        <a:noFill/>
                        <a:ln>
                          <a:noFill/>
                        </a:ln>
                      </wps:spPr>
                      <wps:txbx>
                        <w:txbxContent>
                          <w:p w14:paraId="041B0A51" w14:textId="77777777" w:rsidR="000F5816" w:rsidRDefault="000F5816">
                            <w:pPr>
                              <w:spacing w:line="360" w:lineRule="auto"/>
                              <w:textDirection w:val="btLr"/>
                            </w:pPr>
                            <w:r>
                              <w:rPr>
                                <w:color w:val="000000"/>
                                <w:sz w:val="20"/>
                              </w:rPr>
                              <w:t>A=</w:t>
                            </w:r>
                            <w:r>
                              <w:rPr>
                                <w:color w:val="000000"/>
                              </w:rPr>
                              <w:t>0.84</w:t>
                            </w:r>
                          </w:p>
                          <w:p w14:paraId="1C676739" w14:textId="77777777" w:rsidR="000F5816" w:rsidRDefault="000F5816">
                            <w:pPr>
                              <w:spacing w:line="360" w:lineRule="auto"/>
                              <w:textDirection w:val="btLr"/>
                            </w:pPr>
                            <w:r>
                              <w:rPr>
                                <w:color w:val="000000"/>
                                <w:sz w:val="20"/>
                              </w:rPr>
                              <w:t>B=</w:t>
                            </w:r>
                            <w:r>
                              <w:rPr>
                                <w:color w:val="000000"/>
                              </w:rPr>
                              <w:t>0.88</w:t>
                            </w:r>
                          </w:p>
                        </w:txbxContent>
                      </wps:txbx>
                      <wps:bodyPr spcFirstLastPara="1" wrap="square" lIns="91425" tIns="45700" rIns="91425" bIns="45700" anchor="t" anchorCtr="0">
                        <a:noAutofit/>
                      </wps:bodyPr>
                    </wps:wsp>
                  </a:graphicData>
                </a:graphic>
              </wp:anchor>
            </w:drawing>
          </mc:Choice>
          <mc:Fallback>
            <w:pict>
              <v:rect w14:anchorId="4DE6FC39" id="Rectangle 55" o:spid="_x0000_s1029" style="position:absolute;left:0;text-align:left;margin-left:394pt;margin-top:276pt;width:51.75pt;height:46.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" filled="f" stroked="f">
                <v:textbox inset="2.53958mm,1.2694mm,2.53958mm,1.2694mm">
                  <w:txbxContent>
                    <w:p w14:paraId="041B0A51" w14:textId="77777777" w:rsidR="000F5816" w:rsidRDefault="000F5816">
                      <w:pPr>
                        <w:spacing w:line="360" w:lineRule="auto"/>
                        <w:textDirection w:val="btLr"/>
                      </w:pPr>
                      <w:r>
                        <w:rPr>
                          <w:color w:val="000000"/>
                          <w:sz w:val="20"/>
                        </w:rPr>
                        <w:t>A=</w:t>
                      </w:r>
                      <w:r>
                        <w:rPr>
                          <w:color w:val="000000"/>
                        </w:rPr>
                        <w:t>0.84</w:t>
                      </w:r>
                    </w:p>
                    <w:p w14:paraId="1C676739" w14:textId="77777777" w:rsidR="000F5816" w:rsidRDefault="000F5816">
                      <w:pPr>
                        <w:spacing w:line="360" w:lineRule="auto"/>
                        <w:textDirection w:val="btLr"/>
                      </w:pPr>
                      <w:r>
                        <w:rPr>
                          <w:color w:val="000000"/>
                          <w:sz w:val="20"/>
                        </w:rPr>
                        <w:t>B=</w:t>
                      </w:r>
                      <w:r>
                        <w:rPr>
                          <w:color w:val="000000"/>
                        </w:rPr>
                        <w:t>0.88</w:t>
                      </w:r>
                    </w:p>
                  </w:txbxContent>
                </v:textbox>
              </v:rect>
            </w:pict>
          </mc:Fallback>
        </mc:AlternateContent>
      </w:r>
    </w:p>
    <w:p w14:paraId="4F27F808" w14:textId="77777777" w:rsidR="002D3616" w:rsidRDefault="002D3616">
      <w:pPr>
        <w:spacing w:line="480" w:lineRule="auto"/>
        <w:jc w:val="both"/>
        <w:rPr>
          <w:rFonts w:ascii="Times" w:eastAsia="Times" w:hAnsi="Times" w:cs="Times"/>
          <w:color w:val="000000"/>
        </w:rPr>
      </w:pPr>
    </w:p>
    <w:p w14:paraId="4B632F29" w14:textId="77777777" w:rsidR="002D3616" w:rsidRDefault="002D3616">
      <w:pPr>
        <w:spacing w:line="480" w:lineRule="auto"/>
        <w:jc w:val="both"/>
        <w:rPr>
          <w:rFonts w:ascii="Times" w:eastAsia="Times" w:hAnsi="Times" w:cs="Times"/>
          <w:color w:val="000000"/>
        </w:rPr>
      </w:pPr>
    </w:p>
    <w:p w14:paraId="37151315"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Legend: </w:t>
      </w:r>
    </w:p>
    <w:p w14:paraId="3E89E8A4" w14:textId="77777777" w:rsidR="002D3616" w:rsidRDefault="003470FA">
      <w:pPr>
        <w:spacing w:line="480" w:lineRule="auto"/>
        <w:jc w:val="both"/>
        <w:rPr>
          <w:rFonts w:ascii="Times" w:eastAsia="Times" w:hAnsi="Times" w:cs="Times"/>
          <w:color w:val="000000"/>
        </w:rPr>
      </w:pPr>
      <w:r>
        <w:rPr>
          <w:rFonts w:ascii="Times" w:eastAsia="Times" w:hAnsi="Times" w:cs="Times"/>
          <w:noProof/>
          <w:color w:val="000000"/>
        </w:rPr>
        <w:drawing>
          <wp:inline distT="0" distB="0" distL="0" distR="0" wp14:anchorId="54D68027" wp14:editId="43FF31DB">
            <wp:extent cx="1539433" cy="992855"/>
            <wp:effectExtent l="0" t="0" r="0" b="0"/>
            <wp:docPr id="60" name="image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Text&#10;&#10;Description automatically generated"/>
                    <pic:cNvPicPr preferRelativeResize="0"/>
                  </pic:nvPicPr>
                  <pic:blipFill>
                    <a:blip r:embed="rId13"/>
                    <a:srcRect/>
                    <a:stretch>
                      <a:fillRect/>
                    </a:stretch>
                  </pic:blipFill>
                  <pic:spPr>
                    <a:xfrm>
                      <a:off x="0" y="0"/>
                      <a:ext cx="1539433" cy="992855"/>
                    </a:xfrm>
                    <a:prstGeom prst="rect">
                      <a:avLst/>
                    </a:prstGeom>
                    <a:ln/>
                  </pic:spPr>
                </pic:pic>
              </a:graphicData>
            </a:graphic>
          </wp:inline>
        </w:drawing>
      </w:r>
    </w:p>
    <w:p w14:paraId="4BAEB784"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lastRenderedPageBreak/>
        <w:t>A= calibration slope, B= c-statistic</w:t>
      </w:r>
    </w:p>
    <w:p w14:paraId="08C317ED" w14:textId="77777777" w:rsidR="002D3616" w:rsidRDefault="003470FA">
      <w:pPr>
        <w:spacing w:line="480" w:lineRule="auto"/>
        <w:jc w:val="both"/>
        <w:rPr>
          <w:rFonts w:ascii="Times" w:eastAsia="Times" w:hAnsi="Times" w:cs="Times"/>
          <w:color w:val="000000"/>
        </w:rPr>
      </w:pPr>
      <w:r>
        <w:rPr>
          <w:rFonts w:ascii="Times" w:eastAsia="Times" w:hAnsi="Times" w:cs="Times"/>
          <w:b/>
          <w:color w:val="000000"/>
        </w:rPr>
        <w:t>Figure 1</w:t>
      </w:r>
      <w:r>
        <w:rPr>
          <w:rFonts w:ascii="Times" w:eastAsia="Times" w:hAnsi="Times" w:cs="Times"/>
          <w:color w:val="000000"/>
        </w:rPr>
        <w:t xml:space="preserve">. Assessment of model calibration for </w:t>
      </w:r>
      <w:proofErr w:type="spellStart"/>
      <w:r>
        <w:rPr>
          <w:rFonts w:ascii="Times" w:eastAsia="Times" w:hAnsi="Times" w:cs="Times"/>
          <w:color w:val="000000"/>
        </w:rPr>
        <w:t>sFlt</w:t>
      </w:r>
      <w:proofErr w:type="spellEnd"/>
      <w:r>
        <w:rPr>
          <w:rFonts w:ascii="Times" w:eastAsia="Times" w:hAnsi="Times" w:cs="Times"/>
          <w:color w:val="000000"/>
        </w:rPr>
        <w:t xml:space="preserve">, PIGF, </w:t>
      </w:r>
      <w:proofErr w:type="spellStart"/>
      <w:r>
        <w:rPr>
          <w:rFonts w:ascii="Times" w:eastAsia="Times" w:hAnsi="Times" w:cs="Times"/>
          <w:color w:val="000000"/>
        </w:rPr>
        <w:t>sFlt</w:t>
      </w:r>
      <w:proofErr w:type="spellEnd"/>
      <w:r>
        <w:rPr>
          <w:rFonts w:ascii="Times" w:eastAsia="Times" w:hAnsi="Times" w:cs="Times"/>
          <w:color w:val="000000"/>
        </w:rPr>
        <w:t xml:space="preserve">/PIGF ratio and </w:t>
      </w:r>
      <w:proofErr w:type="spellStart"/>
      <w:r>
        <w:rPr>
          <w:rFonts w:ascii="Times" w:eastAsia="Times" w:hAnsi="Times" w:cs="Times"/>
          <w:color w:val="000000"/>
        </w:rPr>
        <w:t>sFlt</w:t>
      </w:r>
      <w:proofErr w:type="spellEnd"/>
      <w:r>
        <w:rPr>
          <w:rFonts w:ascii="Times" w:eastAsia="Times" w:hAnsi="Times" w:cs="Times"/>
          <w:color w:val="000000"/>
        </w:rPr>
        <w:t xml:space="preserve">/PIGF cut-off-based models. </w:t>
      </w:r>
      <w:proofErr w:type="spellStart"/>
      <w:r>
        <w:rPr>
          <w:rFonts w:ascii="Times" w:eastAsia="Times" w:hAnsi="Times" w:cs="Times"/>
          <w:color w:val="000000"/>
        </w:rPr>
        <w:t>sFlt</w:t>
      </w:r>
      <w:proofErr w:type="spellEnd"/>
      <w:r>
        <w:rPr>
          <w:rFonts w:ascii="Times" w:eastAsia="Times" w:hAnsi="Times" w:cs="Times"/>
          <w:color w:val="000000"/>
        </w:rPr>
        <w:t xml:space="preserve">, PIGF and </w:t>
      </w:r>
      <w:proofErr w:type="spellStart"/>
      <w:r>
        <w:rPr>
          <w:rFonts w:ascii="Times" w:eastAsia="Times" w:hAnsi="Times" w:cs="Times"/>
          <w:color w:val="000000"/>
        </w:rPr>
        <w:t>sFlt</w:t>
      </w:r>
      <w:proofErr w:type="spellEnd"/>
      <w:r>
        <w:rPr>
          <w:rFonts w:ascii="Times" w:eastAsia="Times" w:hAnsi="Times" w:cs="Times"/>
          <w:color w:val="000000"/>
        </w:rPr>
        <w:t xml:space="preserve">/PIGF ratio values are in log scales. Estimated probabilities are plotted in ten risk groups. The plot for </w:t>
      </w:r>
      <w:proofErr w:type="spellStart"/>
      <w:r>
        <w:rPr>
          <w:rFonts w:ascii="Times" w:eastAsia="Times" w:hAnsi="Times" w:cs="Times"/>
          <w:color w:val="000000"/>
        </w:rPr>
        <w:t>sFlt</w:t>
      </w:r>
      <w:proofErr w:type="spellEnd"/>
      <w:r>
        <w:rPr>
          <w:rFonts w:ascii="Times" w:eastAsia="Times" w:hAnsi="Times" w:cs="Times"/>
          <w:color w:val="000000"/>
        </w:rPr>
        <w:t xml:space="preserve">/PIGF cut-off-based model is based on the log odds of predictions of the 0/1 outcome. </w:t>
      </w:r>
    </w:p>
    <w:p w14:paraId="4EC23896" w14:textId="77777777" w:rsidR="004F58D8" w:rsidRDefault="004F58D8" w:rsidP="004F58D8">
      <w:pPr>
        <w:spacing w:line="480" w:lineRule="auto"/>
        <w:jc w:val="both"/>
        <w:rPr>
          <w:rFonts w:ascii="Times" w:eastAsia="Times" w:hAnsi="Times" w:cs="Times"/>
          <w:b/>
          <w:color w:val="000000"/>
        </w:rPr>
      </w:pPr>
    </w:p>
    <w:tbl>
      <w:tblPr>
        <w:tblStyle w:val="TableGrid"/>
        <w:tblW w:w="8554" w:type="dxa"/>
        <w:tblInd w:w="-5" w:type="dxa"/>
        <w:tblLook w:val="04A0" w:firstRow="1" w:lastRow="0" w:firstColumn="1" w:lastColumn="0" w:noHBand="0" w:noVBand="1"/>
      </w:tblPr>
      <w:tblGrid>
        <w:gridCol w:w="2976"/>
        <w:gridCol w:w="5578"/>
      </w:tblGrid>
      <w:tr w:rsidR="004F58D8" w14:paraId="206F7514" w14:textId="77777777" w:rsidTr="00CA5286">
        <w:trPr>
          <w:trHeight w:val="290"/>
        </w:trPr>
        <w:tc>
          <w:tcPr>
            <w:tcW w:w="2976" w:type="dxa"/>
          </w:tcPr>
          <w:p w14:paraId="0C01A3CB" w14:textId="5441A0DB" w:rsidR="004F58D8" w:rsidRDefault="004F58D8" w:rsidP="002B08B7">
            <w:pPr>
              <w:spacing w:line="480" w:lineRule="auto"/>
              <w:rPr>
                <w:rFonts w:ascii="Times" w:eastAsia="Times" w:hAnsi="Times" w:cs="Times"/>
                <w:b/>
                <w:color w:val="000000"/>
              </w:rPr>
            </w:pPr>
            <w:r>
              <w:rPr>
                <w:rFonts w:ascii="Times" w:eastAsia="Times" w:hAnsi="Times" w:cs="Times"/>
                <w:b/>
                <w:color w:val="000000"/>
              </w:rPr>
              <w:t>Model</w:t>
            </w:r>
            <w:r w:rsidR="00361BDE">
              <w:rPr>
                <w:rFonts w:ascii="Times" w:eastAsia="Times" w:hAnsi="Times" w:cs="Times"/>
                <w:b/>
                <w:color w:val="000000"/>
              </w:rPr>
              <w:t>s</w:t>
            </w:r>
          </w:p>
        </w:tc>
        <w:tc>
          <w:tcPr>
            <w:tcW w:w="5578" w:type="dxa"/>
          </w:tcPr>
          <w:p w14:paraId="35F5594B" w14:textId="77777777" w:rsidR="004F58D8" w:rsidRDefault="004F58D8" w:rsidP="002B08B7">
            <w:pPr>
              <w:spacing w:line="480" w:lineRule="auto"/>
              <w:rPr>
                <w:rFonts w:ascii="Times" w:eastAsia="Times" w:hAnsi="Times" w:cs="Times"/>
                <w:b/>
                <w:color w:val="000000"/>
              </w:rPr>
            </w:pPr>
            <w:r>
              <w:rPr>
                <w:rFonts w:ascii="Times" w:eastAsia="Times" w:hAnsi="Times" w:cs="Times"/>
                <w:b/>
                <w:color w:val="000000"/>
              </w:rPr>
              <w:t>Model form</w:t>
            </w:r>
          </w:p>
        </w:tc>
      </w:tr>
      <w:tr w:rsidR="004F58D8" w14:paraId="2EB32070" w14:textId="77777777" w:rsidTr="00CA5286">
        <w:trPr>
          <w:trHeight w:val="298"/>
        </w:trPr>
        <w:tc>
          <w:tcPr>
            <w:tcW w:w="2976" w:type="dxa"/>
          </w:tcPr>
          <w:p w14:paraId="6EEB4A24" w14:textId="77777777" w:rsidR="004F58D8" w:rsidRPr="00D02F65" w:rsidRDefault="004F58D8" w:rsidP="002B08B7">
            <w:pPr>
              <w:rPr>
                <w:rFonts w:ascii="Times" w:eastAsia="Times" w:hAnsi="Times" w:cs="Times"/>
                <w:color w:val="000000"/>
              </w:rPr>
            </w:pPr>
            <w:r w:rsidRPr="00D02F65">
              <w:rPr>
                <w:rFonts w:ascii="Times" w:eastAsia="Times" w:hAnsi="Times" w:cs="Times"/>
                <w:color w:val="000000"/>
              </w:rPr>
              <w:t>Model 1</w:t>
            </w:r>
          </w:p>
        </w:tc>
        <w:tc>
          <w:tcPr>
            <w:tcW w:w="5578" w:type="dxa"/>
          </w:tcPr>
          <w:p w14:paraId="53884B07" w14:textId="1CCCDDC8" w:rsidR="004F58D8" w:rsidRPr="00620FFD" w:rsidRDefault="00EE1C4D" w:rsidP="00620FFD">
            <w:pPr>
              <w:spacing w:line="480" w:lineRule="auto"/>
              <w:rPr>
                <w:rFonts w:ascii="Times" w:eastAsia="Times" w:hAnsi="Times" w:cs="Times"/>
                <w:color w:val="000000"/>
              </w:rPr>
            </w:pPr>
            <m:oMathPara>
              <m:oMathParaPr>
                <m:jc m:val="left"/>
              </m:oMathParaPr>
              <m:oMath>
                <m:r>
                  <w:rPr>
                    <w:rFonts w:ascii="Cambria Math" w:eastAsia="Times" w:hAnsi="Cambria Math" w:cs="Times"/>
                    <w:color w:val="000000"/>
                  </w:rPr>
                  <m:t>PE ~</m:t>
                </m:r>
                <m:func>
                  <m:funcPr>
                    <m:ctrlPr>
                      <w:rPr>
                        <w:rFonts w:ascii="Cambria Math" w:eastAsia="Times" w:hAnsi="Cambria Math" w:cs="Times"/>
                        <w:color w:val="000000"/>
                      </w:rPr>
                    </m:ctrlPr>
                  </m:funcPr>
                  <m:fName>
                    <m:r>
                      <m:rPr>
                        <m:sty m:val="p"/>
                      </m:rPr>
                      <w:rPr>
                        <w:rFonts w:ascii="Cambria Math" w:eastAsia="Times" w:hAnsi="Cambria Math" w:cs="Times"/>
                        <w:color w:val="000000"/>
                      </w:rPr>
                      <m:t>log</m:t>
                    </m:r>
                    <m:ctrlPr>
                      <w:rPr>
                        <w:rFonts w:ascii="Cambria Math" w:eastAsia="Times" w:hAnsi="Cambria Math" w:cs="Times"/>
                        <w:i/>
                        <w:color w:val="000000"/>
                      </w:rPr>
                    </m:ctrlPr>
                  </m:fName>
                  <m:e>
                    <m:d>
                      <m:dPr>
                        <m:ctrlPr>
                          <w:rPr>
                            <w:rFonts w:ascii="Cambria Math" w:eastAsia="Times" w:hAnsi="Cambria Math" w:cs="Times"/>
                            <w:i/>
                            <w:color w:val="000000"/>
                          </w:rPr>
                        </m:ctrlPr>
                      </m:dPr>
                      <m:e>
                        <m:r>
                          <w:rPr>
                            <w:rFonts w:ascii="Cambria Math" w:eastAsia="Times" w:hAnsi="Cambria Math" w:cs="Times"/>
                          </w:rPr>
                          <m:t>sFlt1</m:t>
                        </m:r>
                        <m:ctrlPr>
                          <w:rPr>
                            <w:rFonts w:ascii="Cambria Math" w:eastAsia="Times" w:hAnsi="Cambria Math" w:cs="Times"/>
                            <w:i/>
                          </w:rPr>
                        </m:ctrlPr>
                      </m:e>
                    </m:d>
                  </m:e>
                </m:func>
                <m:r>
                  <w:rPr>
                    <w:rFonts w:ascii="Cambria Math" w:eastAsia="Times" w:hAnsi="Cambria Math" w:cs="Times"/>
                  </w:rPr>
                  <m:t>+randomised arm</m:t>
                </m:r>
              </m:oMath>
            </m:oMathPara>
          </w:p>
        </w:tc>
      </w:tr>
      <w:tr w:rsidR="004F58D8" w14:paraId="42FAD922" w14:textId="77777777" w:rsidTr="00CA5286">
        <w:trPr>
          <w:trHeight w:val="305"/>
        </w:trPr>
        <w:tc>
          <w:tcPr>
            <w:tcW w:w="2976" w:type="dxa"/>
          </w:tcPr>
          <w:p w14:paraId="28F03AD0" w14:textId="77777777" w:rsidR="004F58D8" w:rsidRPr="00D02F65" w:rsidRDefault="004F58D8" w:rsidP="002B08B7">
            <w:pPr>
              <w:rPr>
                <w:rFonts w:ascii="Times" w:eastAsia="Times" w:hAnsi="Times" w:cs="Times"/>
                <w:color w:val="000000"/>
              </w:rPr>
            </w:pPr>
            <w:r w:rsidRPr="00D02F65">
              <w:rPr>
                <w:rFonts w:ascii="Times" w:eastAsia="Times" w:hAnsi="Times" w:cs="Times"/>
                <w:color w:val="000000"/>
              </w:rPr>
              <w:t>Model 2</w:t>
            </w:r>
          </w:p>
        </w:tc>
        <w:tc>
          <w:tcPr>
            <w:tcW w:w="5578" w:type="dxa"/>
          </w:tcPr>
          <w:p w14:paraId="230CF40A" w14:textId="0FB02525" w:rsidR="004F58D8" w:rsidRPr="00620FFD" w:rsidRDefault="00EE1C4D" w:rsidP="00620FFD">
            <w:pPr>
              <w:spacing w:line="480" w:lineRule="auto"/>
              <w:rPr>
                <w:rFonts w:ascii="Times" w:eastAsia="Times" w:hAnsi="Times" w:cs="Times"/>
                <w:color w:val="000000"/>
              </w:rPr>
            </w:pPr>
            <m:oMathPara>
              <m:oMathParaPr>
                <m:jc m:val="left"/>
              </m:oMathParaPr>
              <m:oMath>
                <m:r>
                  <w:rPr>
                    <w:rFonts w:ascii="Cambria Math" w:eastAsia="Times" w:hAnsi="Cambria Math" w:cs="Times"/>
                    <w:color w:val="000000"/>
                  </w:rPr>
                  <m:t xml:space="preserve">PE ~ </m:t>
                </m:r>
                <m:r>
                  <m:rPr>
                    <m:sty m:val="p"/>
                  </m:rPr>
                  <w:rPr>
                    <w:rFonts w:ascii="Cambria Math" w:eastAsia="Times" w:hAnsi="Cambria Math" w:cs="Times"/>
                    <w:color w:val="000000"/>
                  </w:rPr>
                  <m:t>log⁡</m:t>
                </m:r>
                <m:r>
                  <w:rPr>
                    <w:rFonts w:ascii="Cambria Math" w:eastAsia="Times" w:hAnsi="Cambria Math" w:cs="Times"/>
                    <w:color w:val="000000"/>
                  </w:rPr>
                  <m:t>(</m:t>
                </m:r>
                <m:r>
                  <w:rPr>
                    <w:rFonts w:ascii="Cambria Math" w:eastAsia="Times" w:hAnsi="Cambria Math" w:cs="Times"/>
                  </w:rPr>
                  <m:t>PIGF)+randomised arm</m:t>
                </m:r>
              </m:oMath>
            </m:oMathPara>
          </w:p>
        </w:tc>
      </w:tr>
      <w:tr w:rsidR="004F58D8" w14:paraId="0020E786" w14:textId="77777777" w:rsidTr="00CA5286">
        <w:trPr>
          <w:trHeight w:val="445"/>
        </w:trPr>
        <w:tc>
          <w:tcPr>
            <w:tcW w:w="2976" w:type="dxa"/>
          </w:tcPr>
          <w:p w14:paraId="2C68BB5A" w14:textId="77777777" w:rsidR="004F58D8" w:rsidRDefault="004F58D8" w:rsidP="002B08B7">
            <w:pPr>
              <w:rPr>
                <w:rFonts w:ascii="Times" w:eastAsia="Times" w:hAnsi="Times" w:cs="Times"/>
                <w:color w:val="000000"/>
              </w:rPr>
            </w:pPr>
            <w:r w:rsidRPr="00D02F65">
              <w:rPr>
                <w:rFonts w:ascii="Times" w:eastAsia="Times" w:hAnsi="Times" w:cs="Times"/>
                <w:color w:val="000000"/>
              </w:rPr>
              <w:t>Model 3</w:t>
            </w:r>
          </w:p>
          <w:p w14:paraId="48E848E8" w14:textId="77777777" w:rsidR="004F58D8" w:rsidRPr="00D02F65" w:rsidRDefault="004F58D8" w:rsidP="00620FFD">
            <w:pPr>
              <w:rPr>
                <w:rFonts w:ascii="Times" w:eastAsia="Times" w:hAnsi="Times" w:cs="Times"/>
                <w:color w:val="000000"/>
              </w:rPr>
            </w:pPr>
          </w:p>
        </w:tc>
        <w:tc>
          <w:tcPr>
            <w:tcW w:w="5578" w:type="dxa"/>
          </w:tcPr>
          <w:p w14:paraId="1241C4A0" w14:textId="77BDC665" w:rsidR="004F58D8" w:rsidRPr="002B08B7" w:rsidRDefault="00EE1C4D" w:rsidP="00620FFD">
            <w:pPr>
              <w:spacing w:line="480" w:lineRule="auto"/>
              <w:rPr>
                <w:rFonts w:ascii="Times" w:eastAsia="Times" w:hAnsi="Times" w:cs="Times"/>
              </w:rPr>
            </w:pPr>
            <m:oMathPara>
              <m:oMathParaPr>
                <m:jc m:val="left"/>
              </m:oMathParaPr>
              <m:oMath>
                <m:r>
                  <w:rPr>
                    <w:rFonts w:ascii="Cambria Math" w:eastAsia="Times" w:hAnsi="Cambria Math" w:cs="Times"/>
                    <w:color w:val="000000"/>
                  </w:rPr>
                  <m:t>PE ~ log</m:t>
                </m:r>
                <m:d>
                  <m:dPr>
                    <m:ctrlPr>
                      <w:rPr>
                        <w:rFonts w:ascii="Cambria Math" w:eastAsia="Times" w:hAnsi="Cambria Math" w:cs="Times"/>
                        <w:i/>
                        <w:color w:val="000000"/>
                      </w:rPr>
                    </m:ctrlPr>
                  </m:dPr>
                  <m:e>
                    <m:f>
                      <m:fPr>
                        <m:ctrlPr>
                          <w:rPr>
                            <w:rFonts w:ascii="Cambria Math" w:eastAsia="Times" w:hAnsi="Cambria Math" w:cs="Times"/>
                            <w:i/>
                          </w:rPr>
                        </m:ctrlPr>
                      </m:fPr>
                      <m:num>
                        <m:r>
                          <w:rPr>
                            <w:rFonts w:ascii="Cambria Math" w:eastAsia="Times" w:hAnsi="Cambria Math" w:cs="Times"/>
                          </w:rPr>
                          <m:t>sFlt-1</m:t>
                        </m:r>
                        <m:ctrlPr>
                          <w:rPr>
                            <w:rFonts w:ascii="Cambria Math" w:eastAsia="Times" w:hAnsi="Cambria Math" w:cs="Times"/>
                            <w:i/>
                            <w:color w:val="000000"/>
                          </w:rPr>
                        </m:ctrlPr>
                      </m:num>
                      <m:den>
                        <m:r>
                          <w:rPr>
                            <w:rFonts w:ascii="Cambria Math" w:eastAsia="Times" w:hAnsi="Cambria Math" w:cs="Times"/>
                          </w:rPr>
                          <m:t>PIGF</m:t>
                        </m:r>
                      </m:den>
                    </m:f>
                    <m:ctrlPr>
                      <w:rPr>
                        <w:rFonts w:ascii="Cambria Math" w:eastAsia="Times" w:hAnsi="Cambria Math" w:cs="Times"/>
                      </w:rPr>
                    </m:ctrlPr>
                  </m:e>
                </m:d>
                <m:r>
                  <w:rPr>
                    <w:rFonts w:ascii="Cambria Math" w:eastAsia="Times" w:hAnsi="Cambria Math" w:cs="Times"/>
                  </w:rPr>
                  <m:t>+randomised arm</m:t>
                </m:r>
              </m:oMath>
            </m:oMathPara>
          </w:p>
        </w:tc>
      </w:tr>
      <w:tr w:rsidR="004F58D8" w14:paraId="358CC201" w14:textId="77777777" w:rsidTr="00CA5286">
        <w:trPr>
          <w:trHeight w:val="445"/>
        </w:trPr>
        <w:tc>
          <w:tcPr>
            <w:tcW w:w="2976" w:type="dxa"/>
          </w:tcPr>
          <w:p w14:paraId="095EB867" w14:textId="77777777" w:rsidR="004F58D8" w:rsidRPr="00D02F65" w:rsidRDefault="004F58D8" w:rsidP="002B08B7">
            <w:pPr>
              <w:rPr>
                <w:rFonts w:ascii="Times" w:eastAsia="Times" w:hAnsi="Times" w:cs="Times"/>
                <w:color w:val="000000"/>
              </w:rPr>
            </w:pPr>
            <w:r w:rsidRPr="00D02F65">
              <w:rPr>
                <w:rFonts w:ascii="Times" w:eastAsia="Times" w:hAnsi="Times" w:cs="Times"/>
                <w:color w:val="000000"/>
              </w:rPr>
              <w:t>Model 4</w:t>
            </w:r>
          </w:p>
        </w:tc>
        <w:tc>
          <w:tcPr>
            <w:tcW w:w="5578" w:type="dxa"/>
          </w:tcPr>
          <w:p w14:paraId="11D50E28" w14:textId="71ED9F7E" w:rsidR="004F58D8" w:rsidRPr="002B08B7" w:rsidRDefault="00EE1C4D" w:rsidP="00620FFD">
            <w:pPr>
              <w:spacing w:line="480" w:lineRule="auto"/>
              <w:rPr>
                <w:rFonts w:ascii="Times" w:eastAsia="Times" w:hAnsi="Times" w:cs="Times"/>
                <w:color w:val="000000"/>
              </w:rPr>
            </w:pPr>
            <m:oMathPara>
              <m:oMathParaPr>
                <m:jc m:val="left"/>
              </m:oMathParaPr>
              <m:oMath>
                <m:r>
                  <w:rPr>
                    <w:rFonts w:ascii="Cambria Math" w:eastAsia="Times" w:hAnsi="Cambria Math" w:cs="Times"/>
                    <w:color w:val="000000"/>
                  </w:rPr>
                  <m:t xml:space="preserve">PE ~ </m:t>
                </m:r>
                <m:d>
                  <m:dPr>
                    <m:ctrlPr>
                      <w:rPr>
                        <w:rFonts w:ascii="Cambria Math" w:eastAsia="Times" w:hAnsi="Cambria Math" w:cs="Times"/>
                        <w:i/>
                        <w:color w:val="000000"/>
                      </w:rPr>
                    </m:ctrlPr>
                  </m:dPr>
                  <m:e>
                    <m:f>
                      <m:fPr>
                        <m:ctrlPr>
                          <w:rPr>
                            <w:rFonts w:ascii="Cambria Math" w:eastAsia="Times" w:hAnsi="Cambria Math" w:cs="Times"/>
                          </w:rPr>
                        </m:ctrlPr>
                      </m:fPr>
                      <m:num>
                        <m:r>
                          <m:rPr>
                            <m:sty m:val="p"/>
                          </m:rPr>
                          <w:rPr>
                            <w:rFonts w:ascii="Cambria Math" w:eastAsia="Times" w:hAnsi="Cambria Math" w:cs="Times"/>
                          </w:rPr>
                          <m:t>sFlt-1</m:t>
                        </m:r>
                        <m:ctrlPr>
                          <w:rPr>
                            <w:rFonts w:ascii="Cambria Math" w:eastAsia="Times" w:hAnsi="Cambria Math" w:cs="Times"/>
                            <w:color w:val="000000"/>
                          </w:rPr>
                        </m:ctrlPr>
                      </m:num>
                      <m:den>
                        <m:r>
                          <m:rPr>
                            <m:sty m:val="p"/>
                          </m:rPr>
                          <w:rPr>
                            <w:rFonts w:ascii="Cambria Math" w:eastAsia="Times" w:hAnsi="Cambria Math" w:cs="Times"/>
                          </w:rPr>
                          <m:t>PIGF</m:t>
                        </m:r>
                      </m:den>
                    </m:f>
                    <m:ctrlPr>
                      <w:rPr>
                        <w:rFonts w:ascii="Cambria Math" w:eastAsia="Times" w:hAnsi="Cambria Math" w:cs="Times"/>
                      </w:rPr>
                    </m:ctrlPr>
                  </m:e>
                </m:d>
                <m:r>
                  <m:rPr>
                    <m:sty m:val="p"/>
                  </m:rPr>
                  <w:rPr>
                    <w:rFonts w:ascii="Cambria Math" w:eastAsia="Times" w:hAnsi="Cambria Math" w:cs="Times"/>
                  </w:rPr>
                  <m:t xml:space="preserve">&gt;38  </m:t>
                </m:r>
                <m:r>
                  <w:rPr>
                    <w:rFonts w:ascii="Cambria Math" w:eastAsia="Times" w:hAnsi="Cambria Math" w:cs="Times"/>
                  </w:rPr>
                  <m:t>+randomised arm</m:t>
                </m:r>
              </m:oMath>
            </m:oMathPara>
          </w:p>
        </w:tc>
      </w:tr>
    </w:tbl>
    <w:p w14:paraId="0DAAAFDF" w14:textId="3472898C" w:rsidR="00EE1C4D" w:rsidRPr="00620FFD" w:rsidRDefault="00EE1C4D" w:rsidP="004F58D8">
      <w:pPr>
        <w:spacing w:line="480" w:lineRule="auto"/>
        <w:jc w:val="both"/>
        <w:rPr>
          <w:rFonts w:ascii="Times" w:eastAsia="Times" w:hAnsi="Times" w:cs="Times"/>
          <w:color w:val="000000"/>
        </w:rPr>
      </w:pPr>
      <w:r>
        <w:rPr>
          <w:rFonts w:ascii="Times" w:eastAsia="Times" w:hAnsi="Times" w:cs="Times"/>
          <w:color w:val="000000"/>
        </w:rPr>
        <w:t xml:space="preserve">PE= Pre-eclampsia (1=Yes, 0=No); </w:t>
      </w:r>
      <w:r w:rsidR="004F58D8">
        <w:rPr>
          <w:rFonts w:ascii="Times" w:eastAsia="Times" w:hAnsi="Times" w:cs="Times"/>
          <w:color w:val="000000"/>
        </w:rPr>
        <w:t xml:space="preserve">PIGF = Placental growth factor; sFlt-1 - Soluble </w:t>
      </w:r>
      <w:proofErr w:type="spellStart"/>
      <w:r w:rsidR="004F58D8">
        <w:rPr>
          <w:rFonts w:ascii="Times" w:eastAsia="Times" w:hAnsi="Times" w:cs="Times"/>
          <w:color w:val="000000"/>
        </w:rPr>
        <w:t>fms</w:t>
      </w:r>
      <w:proofErr w:type="spellEnd"/>
      <w:r w:rsidR="004F58D8">
        <w:rPr>
          <w:rFonts w:ascii="Times" w:eastAsia="Times" w:hAnsi="Times" w:cs="Times"/>
          <w:color w:val="000000"/>
        </w:rPr>
        <w:t>-like tyrosine kinase – 1</w:t>
      </w:r>
      <w:r w:rsidR="00D6759F">
        <w:rPr>
          <w:rFonts w:ascii="Times" w:eastAsia="Times" w:hAnsi="Times" w:cs="Times"/>
          <w:color w:val="000000"/>
        </w:rPr>
        <w:t>; log indicates natural logarithm</w:t>
      </w:r>
      <w:r w:rsidR="00B5300E">
        <w:rPr>
          <w:rFonts w:ascii="Times" w:eastAsia="Times" w:hAnsi="Times" w:cs="Times"/>
          <w:color w:val="000000"/>
        </w:rPr>
        <w:t>ic</w:t>
      </w:r>
      <w:r w:rsidR="00D6759F">
        <w:rPr>
          <w:rFonts w:ascii="Times" w:eastAsia="Times" w:hAnsi="Times" w:cs="Times"/>
          <w:color w:val="000000"/>
        </w:rPr>
        <w:t xml:space="preserve"> transformation</w:t>
      </w:r>
      <w:r w:rsidR="000F5816">
        <w:rPr>
          <w:rFonts w:ascii="Times" w:eastAsia="Times" w:hAnsi="Times" w:cs="Times"/>
          <w:color w:val="000000"/>
        </w:rPr>
        <w:t>;</w:t>
      </w:r>
      <m:oMath>
        <m:r>
          <w:rPr>
            <w:rFonts w:ascii="Cambria Math" w:eastAsia="Times" w:hAnsi="Cambria Math" w:cs="Times"/>
            <w:color w:val="000000"/>
          </w:rPr>
          <m:t xml:space="preserve"> </m:t>
        </m:r>
      </m:oMath>
    </w:p>
    <w:p w14:paraId="341E2C38" w14:textId="77777777" w:rsidR="00A4202E" w:rsidRDefault="00A4202E" w:rsidP="004F58D8">
      <w:pPr>
        <w:spacing w:line="480" w:lineRule="auto"/>
        <w:jc w:val="both"/>
        <w:rPr>
          <w:rFonts w:ascii="Times" w:eastAsia="Times" w:hAnsi="Times" w:cs="Times"/>
          <w:b/>
          <w:color w:val="000000"/>
        </w:rPr>
      </w:pPr>
    </w:p>
    <w:p w14:paraId="055C5691" w14:textId="3848268A" w:rsidR="004F58D8" w:rsidRPr="00EE1C4D" w:rsidRDefault="004F58D8" w:rsidP="004F58D8">
      <w:pPr>
        <w:spacing w:line="480" w:lineRule="auto"/>
        <w:jc w:val="both"/>
        <w:rPr>
          <w:rFonts w:ascii="Times" w:eastAsia="Times" w:hAnsi="Times" w:cs="Times"/>
          <w:b/>
          <w:color w:val="000000"/>
        </w:rPr>
      </w:pPr>
      <w:r>
        <w:rPr>
          <w:rFonts w:ascii="Times" w:eastAsia="Times" w:hAnsi="Times" w:cs="Times"/>
          <w:b/>
          <w:color w:val="000000"/>
        </w:rPr>
        <w:t xml:space="preserve">Table 2. Details of the four </w:t>
      </w:r>
      <w:r w:rsidR="00A4202E">
        <w:rPr>
          <w:rFonts w:ascii="Times" w:eastAsia="Times" w:hAnsi="Times" w:cs="Times"/>
          <w:b/>
          <w:color w:val="000000"/>
        </w:rPr>
        <w:t xml:space="preserve">multivariable logistic </w:t>
      </w:r>
      <w:r>
        <w:rPr>
          <w:rFonts w:ascii="Times" w:eastAsia="Times" w:hAnsi="Times" w:cs="Times"/>
          <w:b/>
          <w:color w:val="000000"/>
        </w:rPr>
        <w:t>regression models fitted</w:t>
      </w:r>
    </w:p>
    <w:p w14:paraId="39116305" w14:textId="3F8F8084" w:rsidR="006332A1" w:rsidRDefault="006332A1">
      <w:pPr>
        <w:rPr>
          <w:rFonts w:ascii="Times" w:eastAsia="Times" w:hAnsi="Times" w:cs="Times"/>
          <w:b/>
          <w:color w:val="000000"/>
        </w:rPr>
      </w:pPr>
      <w:r>
        <w:rPr>
          <w:rFonts w:ascii="Times" w:eastAsia="Times" w:hAnsi="Times" w:cs="Times"/>
          <w:b/>
          <w:color w:val="000000"/>
        </w:rPr>
        <w:br w:type="page"/>
      </w:r>
    </w:p>
    <w:tbl>
      <w:tblPr>
        <w:tblStyle w:val="a4"/>
        <w:tblW w:w="11363" w:type="dxa"/>
        <w:jc w:val="center"/>
        <w:tblBorders>
          <w:top w:val="single" w:sz="4" w:space="0" w:color="7F7F7F"/>
          <w:left w:val="single" w:sz="4" w:space="0" w:color="000000"/>
          <w:bottom w:val="single" w:sz="4" w:space="0" w:color="7F7F7F"/>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90"/>
        <w:gridCol w:w="1416"/>
        <w:gridCol w:w="1320"/>
        <w:gridCol w:w="1465"/>
        <w:gridCol w:w="830"/>
        <w:gridCol w:w="1049"/>
        <w:gridCol w:w="756"/>
        <w:gridCol w:w="737"/>
      </w:tblGrid>
      <w:tr w:rsidR="002D3616" w14:paraId="7E25B404" w14:textId="77777777" w:rsidTr="00000FB1">
        <w:trPr>
          <w:trHeight w:val="361"/>
          <w:jc w:val="center"/>
        </w:trPr>
        <w:tc>
          <w:tcPr>
            <w:tcW w:w="3790" w:type="dxa"/>
            <w:tcBorders>
              <w:top w:val="single" w:sz="4" w:space="0" w:color="7F7F7F"/>
              <w:left w:val="single" w:sz="4" w:space="0" w:color="000000"/>
              <w:bottom w:val="single" w:sz="4" w:space="0" w:color="7F7F7F"/>
              <w:right w:val="single" w:sz="4" w:space="0" w:color="000000"/>
            </w:tcBorders>
          </w:tcPr>
          <w:p w14:paraId="35DC245E" w14:textId="77777777" w:rsidR="002D3616" w:rsidRDefault="003470FA">
            <w:pPr>
              <w:jc w:val="both"/>
              <w:rPr>
                <w:rFonts w:ascii="Times" w:eastAsia="Times" w:hAnsi="Times" w:cs="Times"/>
              </w:rPr>
            </w:pPr>
            <w:r>
              <w:rPr>
                <w:rFonts w:ascii="Times" w:eastAsia="Times" w:hAnsi="Times" w:cs="Times"/>
              </w:rPr>
              <w:lastRenderedPageBreak/>
              <w:t>Model</w:t>
            </w:r>
          </w:p>
        </w:tc>
        <w:tc>
          <w:tcPr>
            <w:tcW w:w="2736" w:type="dxa"/>
            <w:gridSpan w:val="2"/>
            <w:tcBorders>
              <w:top w:val="single" w:sz="4" w:space="0" w:color="7F7F7F"/>
              <w:left w:val="single" w:sz="4" w:space="0" w:color="000000"/>
              <w:bottom w:val="single" w:sz="4" w:space="0" w:color="7F7F7F"/>
              <w:right w:val="single" w:sz="4" w:space="0" w:color="000000"/>
            </w:tcBorders>
          </w:tcPr>
          <w:p w14:paraId="596C0662"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rPr>
            </w:pPr>
            <w:r>
              <w:rPr>
                <w:rFonts w:ascii="Times" w:eastAsia="Times" w:hAnsi="Times" w:cs="Times"/>
              </w:rPr>
              <w:t>Regression model output</w:t>
            </w:r>
          </w:p>
        </w:tc>
        <w:tc>
          <w:tcPr>
            <w:tcW w:w="4837" w:type="dxa"/>
            <w:gridSpan w:val="5"/>
            <w:tcBorders>
              <w:top w:val="single" w:sz="4" w:space="0" w:color="7F7F7F"/>
              <w:left w:val="single" w:sz="4" w:space="0" w:color="000000"/>
              <w:bottom w:val="single" w:sz="4" w:space="0" w:color="7F7F7F"/>
              <w:right w:val="single" w:sz="4" w:space="0" w:color="000000"/>
            </w:tcBorders>
          </w:tcPr>
          <w:p w14:paraId="203DCE72"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rPr>
            </w:pPr>
            <w:r>
              <w:rPr>
                <w:rFonts w:ascii="Times" w:eastAsia="Times" w:hAnsi="Times" w:cs="Times"/>
              </w:rPr>
              <w:t>Model performance corrected for optimism</w:t>
            </w:r>
          </w:p>
        </w:tc>
      </w:tr>
      <w:tr w:rsidR="002D3616" w14:paraId="1A3A30FE" w14:textId="77777777" w:rsidTr="00000FB1">
        <w:trPr>
          <w:trHeight w:val="316"/>
          <w:jc w:val="center"/>
        </w:trPr>
        <w:tc>
          <w:tcPr>
            <w:tcW w:w="3790" w:type="dxa"/>
            <w:tcBorders>
              <w:top w:val="single" w:sz="4" w:space="0" w:color="7F7F7F"/>
              <w:left w:val="single" w:sz="4" w:space="0" w:color="000000"/>
              <w:bottom w:val="single" w:sz="4" w:space="0" w:color="7F7F7F"/>
              <w:right w:val="single" w:sz="4" w:space="0" w:color="000000"/>
            </w:tcBorders>
          </w:tcPr>
          <w:p w14:paraId="0777FE09" w14:textId="77777777" w:rsidR="002D3616" w:rsidRDefault="002D3616">
            <w:pPr>
              <w:tabs>
                <w:tab w:val="right" w:pos="1868"/>
              </w:tabs>
              <w:jc w:val="both"/>
              <w:rPr>
                <w:rFonts w:ascii="Times" w:eastAsia="Times" w:hAnsi="Times" w:cs="Times"/>
              </w:rPr>
            </w:pPr>
          </w:p>
        </w:tc>
        <w:tc>
          <w:tcPr>
            <w:tcW w:w="1416" w:type="dxa"/>
            <w:tcBorders>
              <w:top w:val="single" w:sz="4" w:space="0" w:color="7F7F7F"/>
              <w:left w:val="single" w:sz="4" w:space="0" w:color="000000"/>
              <w:bottom w:val="single" w:sz="4" w:space="0" w:color="7F7F7F"/>
              <w:right w:val="single" w:sz="4" w:space="0" w:color="000000"/>
            </w:tcBorders>
          </w:tcPr>
          <w:p w14:paraId="2159470F"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w:eastAsia="Times" w:hAnsi="Times" w:cs="Times"/>
              </w:rPr>
            </w:pPr>
            <w:r>
              <w:rPr>
                <w:rFonts w:ascii="Times" w:eastAsia="Times" w:hAnsi="Times" w:cs="Times"/>
              </w:rPr>
              <w:t>Coefficient</w:t>
            </w:r>
          </w:p>
        </w:tc>
        <w:tc>
          <w:tcPr>
            <w:tcW w:w="1320" w:type="dxa"/>
            <w:tcBorders>
              <w:top w:val="single" w:sz="4" w:space="0" w:color="7F7F7F"/>
              <w:left w:val="single" w:sz="4" w:space="0" w:color="000000"/>
              <w:bottom w:val="single" w:sz="4" w:space="0" w:color="7F7F7F"/>
              <w:right w:val="single" w:sz="4" w:space="0" w:color="000000"/>
            </w:tcBorders>
          </w:tcPr>
          <w:p w14:paraId="7907CF3B"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w:eastAsia="Times" w:hAnsi="Times" w:cs="Times"/>
              </w:rPr>
            </w:pPr>
            <w:r>
              <w:rPr>
                <w:rFonts w:ascii="Times" w:eastAsia="Times" w:hAnsi="Times" w:cs="Times"/>
              </w:rPr>
              <w:t>Intercept</w:t>
            </w:r>
          </w:p>
        </w:tc>
        <w:tc>
          <w:tcPr>
            <w:tcW w:w="1465" w:type="dxa"/>
            <w:tcBorders>
              <w:top w:val="single" w:sz="4" w:space="0" w:color="7F7F7F"/>
              <w:left w:val="single" w:sz="4" w:space="0" w:color="000000"/>
              <w:bottom w:val="single" w:sz="4" w:space="0" w:color="7F7F7F"/>
              <w:right w:val="single" w:sz="4" w:space="0" w:color="000000"/>
            </w:tcBorders>
          </w:tcPr>
          <w:p w14:paraId="3BA600E5"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w:eastAsia="Times" w:hAnsi="Times" w:cs="Times"/>
              </w:rPr>
            </w:pPr>
            <w:r>
              <w:rPr>
                <w:rFonts w:ascii="Times" w:eastAsia="Times" w:hAnsi="Times" w:cs="Times"/>
              </w:rPr>
              <w:t xml:space="preserve">Calibration </w:t>
            </w:r>
          </w:p>
          <w:p w14:paraId="6A7D31C6"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w:eastAsia="Times" w:hAnsi="Times" w:cs="Times"/>
              </w:rPr>
            </w:pPr>
            <w:r>
              <w:rPr>
                <w:rFonts w:ascii="Times" w:eastAsia="Times" w:hAnsi="Times" w:cs="Times"/>
              </w:rPr>
              <w:t>slope</w:t>
            </w:r>
          </w:p>
        </w:tc>
        <w:tc>
          <w:tcPr>
            <w:tcW w:w="830" w:type="dxa"/>
            <w:tcBorders>
              <w:top w:val="single" w:sz="4" w:space="0" w:color="7F7F7F"/>
              <w:left w:val="single" w:sz="4" w:space="0" w:color="000000"/>
              <w:bottom w:val="single" w:sz="4" w:space="0" w:color="7F7F7F"/>
              <w:right w:val="single" w:sz="4" w:space="0" w:color="000000"/>
            </w:tcBorders>
          </w:tcPr>
          <w:p w14:paraId="5FEB57F0"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w:eastAsia="Times" w:hAnsi="Times" w:cs="Times"/>
              </w:rPr>
            </w:pPr>
            <w:r>
              <w:rPr>
                <w:rFonts w:ascii="Times" w:eastAsia="Times" w:hAnsi="Times" w:cs="Times"/>
              </w:rPr>
              <w:t>CITL</w:t>
            </w:r>
          </w:p>
        </w:tc>
        <w:tc>
          <w:tcPr>
            <w:tcW w:w="1049" w:type="dxa"/>
            <w:tcBorders>
              <w:top w:val="single" w:sz="4" w:space="0" w:color="7F7F7F"/>
              <w:left w:val="single" w:sz="4" w:space="0" w:color="000000"/>
              <w:bottom w:val="single" w:sz="4" w:space="0" w:color="7F7F7F"/>
              <w:right w:val="single" w:sz="4" w:space="0" w:color="000000"/>
            </w:tcBorders>
          </w:tcPr>
          <w:p w14:paraId="62997850"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w:eastAsia="Times" w:hAnsi="Times" w:cs="Times"/>
              </w:rPr>
            </w:pPr>
            <w:r>
              <w:rPr>
                <w:rFonts w:ascii="Times" w:eastAsia="Times" w:hAnsi="Times" w:cs="Times"/>
              </w:rPr>
              <w:t>C-index</w:t>
            </w:r>
          </w:p>
        </w:tc>
        <w:tc>
          <w:tcPr>
            <w:tcW w:w="756" w:type="dxa"/>
            <w:tcBorders>
              <w:top w:val="single" w:sz="4" w:space="0" w:color="7F7F7F"/>
              <w:left w:val="single" w:sz="4" w:space="0" w:color="000000"/>
              <w:bottom w:val="single" w:sz="4" w:space="0" w:color="7F7F7F"/>
              <w:right w:val="single" w:sz="4" w:space="0" w:color="000000"/>
            </w:tcBorders>
          </w:tcPr>
          <w:p w14:paraId="34A98502"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rFonts w:ascii="Times" w:eastAsia="Times" w:hAnsi="Times" w:cs="Times"/>
              </w:rPr>
            </w:pPr>
            <w:r>
              <w:rPr>
                <w:rFonts w:ascii="Times" w:eastAsia="Times" w:hAnsi="Times" w:cs="Times"/>
              </w:rPr>
              <w:t>R</w:t>
            </w:r>
            <w:r>
              <w:rPr>
                <w:rFonts w:ascii="Times" w:eastAsia="Times" w:hAnsi="Times" w:cs="Times"/>
                <w:vertAlign w:val="superscript"/>
              </w:rPr>
              <w:t>2</w:t>
            </w:r>
          </w:p>
        </w:tc>
        <w:tc>
          <w:tcPr>
            <w:tcW w:w="737" w:type="dxa"/>
            <w:tcBorders>
              <w:top w:val="single" w:sz="4" w:space="0" w:color="7F7F7F"/>
              <w:left w:val="single" w:sz="4" w:space="0" w:color="000000"/>
              <w:bottom w:val="single" w:sz="4" w:space="0" w:color="7F7F7F"/>
              <w:right w:val="single" w:sz="4" w:space="0" w:color="000000"/>
            </w:tcBorders>
          </w:tcPr>
          <w:p w14:paraId="66605F70"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jc w:val="both"/>
              <w:rPr>
                <w:rFonts w:ascii="Times" w:eastAsia="Times" w:hAnsi="Times" w:cs="Times"/>
              </w:rPr>
            </w:pPr>
            <w:r>
              <w:rPr>
                <w:rFonts w:ascii="Times" w:eastAsia="Times" w:hAnsi="Times" w:cs="Times"/>
              </w:rPr>
              <w:t>BIC</w:t>
            </w:r>
          </w:p>
        </w:tc>
      </w:tr>
      <w:tr w:rsidR="002D3616" w14:paraId="752953F7" w14:textId="77777777" w:rsidTr="00000FB1">
        <w:trPr>
          <w:trHeight w:val="316"/>
          <w:jc w:val="center"/>
        </w:trPr>
        <w:tc>
          <w:tcPr>
            <w:tcW w:w="3790" w:type="dxa"/>
            <w:tcBorders>
              <w:top w:val="single" w:sz="4" w:space="0" w:color="7F7F7F"/>
              <w:left w:val="single" w:sz="4" w:space="0" w:color="000000"/>
              <w:bottom w:val="single" w:sz="4" w:space="0" w:color="7F7F7F"/>
              <w:right w:val="single" w:sz="4" w:space="0" w:color="000000"/>
            </w:tcBorders>
          </w:tcPr>
          <w:p w14:paraId="457649EE" w14:textId="0FB031A7" w:rsidR="002D3616" w:rsidRDefault="004B76BC">
            <w:pPr>
              <w:tabs>
                <w:tab w:val="right" w:pos="1868"/>
              </w:tabs>
              <w:jc w:val="both"/>
              <w:rPr>
                <w:rFonts w:ascii="Times" w:eastAsia="Times" w:hAnsi="Times" w:cs="Times"/>
              </w:rPr>
            </w:pPr>
            <w:r>
              <w:rPr>
                <w:rFonts w:ascii="Times" w:eastAsia="Times" w:hAnsi="Times" w:cs="Times"/>
              </w:rPr>
              <w:t xml:space="preserve">Model 1: </w:t>
            </w:r>
            <w:r w:rsidR="003470FA">
              <w:rPr>
                <w:rFonts w:ascii="Times" w:eastAsia="Times" w:hAnsi="Times" w:cs="Times"/>
              </w:rPr>
              <w:t xml:space="preserve">sFlt-1 only </w:t>
            </w:r>
            <w:r w:rsidR="003470FA">
              <w:rPr>
                <w:rFonts w:ascii="Times" w:eastAsia="Times" w:hAnsi="Times" w:cs="Times"/>
                <w:vertAlign w:val="superscript"/>
              </w:rPr>
              <w:t>+</w:t>
            </w:r>
          </w:p>
        </w:tc>
        <w:tc>
          <w:tcPr>
            <w:tcW w:w="1416" w:type="dxa"/>
            <w:tcBorders>
              <w:top w:val="single" w:sz="4" w:space="0" w:color="7F7F7F"/>
              <w:left w:val="single" w:sz="4" w:space="0" w:color="000000"/>
              <w:bottom w:val="single" w:sz="4" w:space="0" w:color="7F7F7F"/>
              <w:right w:val="single" w:sz="4" w:space="0" w:color="000000"/>
            </w:tcBorders>
          </w:tcPr>
          <w:p w14:paraId="65FEF824"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7.37</w:t>
            </w:r>
          </w:p>
        </w:tc>
        <w:tc>
          <w:tcPr>
            <w:tcW w:w="1320" w:type="dxa"/>
            <w:tcBorders>
              <w:top w:val="single" w:sz="4" w:space="0" w:color="7F7F7F"/>
              <w:left w:val="single" w:sz="4" w:space="0" w:color="000000"/>
              <w:bottom w:val="single" w:sz="4" w:space="0" w:color="7F7F7F"/>
              <w:right w:val="single" w:sz="4" w:space="0" w:color="000000"/>
            </w:tcBorders>
          </w:tcPr>
          <w:p w14:paraId="01825E44"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Times" w:eastAsia="Times" w:hAnsi="Times" w:cs="Times"/>
              </w:rPr>
            </w:pPr>
            <w:r>
              <w:rPr>
                <w:rFonts w:ascii="Times" w:eastAsia="Times" w:hAnsi="Times" w:cs="Times"/>
              </w:rPr>
              <w:t>-29.92</w:t>
            </w:r>
          </w:p>
        </w:tc>
        <w:tc>
          <w:tcPr>
            <w:tcW w:w="1465" w:type="dxa"/>
            <w:tcBorders>
              <w:top w:val="single" w:sz="4" w:space="0" w:color="7F7F7F"/>
              <w:left w:val="single" w:sz="4" w:space="0" w:color="000000"/>
              <w:bottom w:val="single" w:sz="4" w:space="0" w:color="7F7F7F"/>
              <w:right w:val="single" w:sz="4" w:space="0" w:color="000000"/>
            </w:tcBorders>
          </w:tcPr>
          <w:p w14:paraId="0166FA60"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Times" w:eastAsia="Times" w:hAnsi="Times" w:cs="Times"/>
              </w:rPr>
            </w:pPr>
            <w:r>
              <w:rPr>
                <w:rFonts w:ascii="Times" w:eastAsia="Times" w:hAnsi="Times" w:cs="Times"/>
              </w:rPr>
              <w:t>0.98</w:t>
            </w:r>
          </w:p>
        </w:tc>
        <w:tc>
          <w:tcPr>
            <w:tcW w:w="830" w:type="dxa"/>
            <w:tcBorders>
              <w:top w:val="single" w:sz="4" w:space="0" w:color="7F7F7F"/>
              <w:left w:val="single" w:sz="4" w:space="0" w:color="000000"/>
              <w:bottom w:val="single" w:sz="4" w:space="0" w:color="7F7F7F"/>
              <w:right w:val="single" w:sz="4" w:space="0" w:color="000000"/>
            </w:tcBorders>
          </w:tcPr>
          <w:p w14:paraId="669FD3AB"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Times" w:eastAsia="Times" w:hAnsi="Times" w:cs="Times"/>
              </w:rPr>
            </w:pPr>
            <w:r>
              <w:rPr>
                <w:rFonts w:ascii="Times" w:eastAsia="Times" w:hAnsi="Times" w:cs="Times"/>
              </w:rPr>
              <w:t>0</w:t>
            </w:r>
          </w:p>
        </w:tc>
        <w:tc>
          <w:tcPr>
            <w:tcW w:w="1049" w:type="dxa"/>
            <w:tcBorders>
              <w:top w:val="single" w:sz="4" w:space="0" w:color="7F7F7F"/>
              <w:left w:val="single" w:sz="4" w:space="0" w:color="000000"/>
              <w:bottom w:val="single" w:sz="4" w:space="0" w:color="7F7F7F"/>
              <w:right w:val="single" w:sz="4" w:space="0" w:color="000000"/>
            </w:tcBorders>
          </w:tcPr>
          <w:p w14:paraId="1C884590"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Times" w:eastAsia="Times" w:hAnsi="Times" w:cs="Times"/>
              </w:rPr>
            </w:pPr>
            <w:r>
              <w:rPr>
                <w:rFonts w:ascii="Times" w:eastAsia="Times" w:hAnsi="Times" w:cs="Times"/>
              </w:rPr>
              <w:t>0.94</w:t>
            </w:r>
          </w:p>
        </w:tc>
        <w:tc>
          <w:tcPr>
            <w:tcW w:w="756" w:type="dxa"/>
            <w:tcBorders>
              <w:top w:val="single" w:sz="4" w:space="0" w:color="7F7F7F"/>
              <w:left w:val="single" w:sz="4" w:space="0" w:color="000000"/>
              <w:bottom w:val="single" w:sz="4" w:space="0" w:color="7F7F7F"/>
              <w:right w:val="single" w:sz="4" w:space="0" w:color="000000"/>
            </w:tcBorders>
          </w:tcPr>
          <w:p w14:paraId="32E168E6"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shd w:val="clear" w:color="auto" w:fill="FFFFFF"/>
              <w:jc w:val="center"/>
              <w:rPr>
                <w:rFonts w:ascii="Times" w:eastAsia="Times" w:hAnsi="Times" w:cs="Times"/>
              </w:rPr>
            </w:pPr>
            <w:r>
              <w:rPr>
                <w:rFonts w:ascii="Times" w:eastAsia="Times" w:hAnsi="Times" w:cs="Times"/>
              </w:rPr>
              <w:t>0.55</w:t>
            </w:r>
          </w:p>
        </w:tc>
        <w:tc>
          <w:tcPr>
            <w:tcW w:w="737" w:type="dxa"/>
            <w:tcBorders>
              <w:top w:val="single" w:sz="4" w:space="0" w:color="7F7F7F"/>
              <w:left w:val="single" w:sz="4" w:space="0" w:color="000000"/>
              <w:bottom w:val="single" w:sz="4" w:space="0" w:color="7F7F7F"/>
              <w:right w:val="single" w:sz="4" w:space="0" w:color="000000"/>
            </w:tcBorders>
          </w:tcPr>
          <w:p w14:paraId="0C821341" w14:textId="77777777" w:rsidR="002D3616" w:rsidRDefault="003470FA">
            <w:pPr>
              <w:pBdr>
                <w:top w:val="none" w:sz="0" w:space="0" w:color="000000"/>
                <w:left w:val="none" w:sz="0" w:space="0" w:color="000000"/>
                <w:bottom w:val="none" w:sz="0" w:space="0" w:color="000000"/>
                <w:right w:val="none" w:sz="0" w:space="0" w:color="000000"/>
                <w:between w:val="none" w:sz="0" w:space="0" w:color="000000"/>
              </w:pBdr>
              <w:jc w:val="center"/>
              <w:rPr>
                <w:rFonts w:ascii="Times" w:eastAsia="Times" w:hAnsi="Times" w:cs="Times"/>
              </w:rPr>
            </w:pPr>
            <w:r>
              <w:rPr>
                <w:rFonts w:ascii="Times" w:eastAsia="Times" w:hAnsi="Times" w:cs="Times"/>
              </w:rPr>
              <w:t>144</w:t>
            </w:r>
          </w:p>
        </w:tc>
      </w:tr>
      <w:tr w:rsidR="002D3616" w14:paraId="7FAFBEAE" w14:textId="77777777" w:rsidTr="00000FB1">
        <w:trPr>
          <w:trHeight w:val="361"/>
          <w:jc w:val="center"/>
        </w:trPr>
        <w:tc>
          <w:tcPr>
            <w:tcW w:w="3790" w:type="dxa"/>
            <w:tcBorders>
              <w:top w:val="single" w:sz="4" w:space="0" w:color="7F7F7F"/>
              <w:left w:val="single" w:sz="4" w:space="0" w:color="000000"/>
              <w:bottom w:val="single" w:sz="4" w:space="0" w:color="7F7F7F"/>
              <w:right w:val="single" w:sz="4" w:space="0" w:color="000000"/>
            </w:tcBorders>
          </w:tcPr>
          <w:p w14:paraId="4D872324" w14:textId="00912A2A" w:rsidR="002D3616" w:rsidRDefault="004B76BC">
            <w:pPr>
              <w:jc w:val="both"/>
              <w:rPr>
                <w:rFonts w:ascii="Times" w:eastAsia="Times" w:hAnsi="Times" w:cs="Times"/>
              </w:rPr>
            </w:pPr>
            <w:r>
              <w:rPr>
                <w:rFonts w:ascii="Times" w:eastAsia="Times" w:hAnsi="Times" w:cs="Times"/>
              </w:rPr>
              <w:t xml:space="preserve">Model 2: </w:t>
            </w:r>
            <w:r w:rsidR="003470FA">
              <w:rPr>
                <w:rFonts w:ascii="Times" w:eastAsia="Times" w:hAnsi="Times" w:cs="Times"/>
              </w:rPr>
              <w:t xml:space="preserve">PIGF only </w:t>
            </w:r>
            <w:r w:rsidR="003470FA">
              <w:rPr>
                <w:rFonts w:ascii="Times" w:eastAsia="Times" w:hAnsi="Times" w:cs="Times"/>
                <w:vertAlign w:val="superscript"/>
              </w:rPr>
              <w:t>+</w:t>
            </w:r>
          </w:p>
        </w:tc>
        <w:tc>
          <w:tcPr>
            <w:tcW w:w="1416" w:type="dxa"/>
            <w:tcBorders>
              <w:top w:val="single" w:sz="4" w:space="0" w:color="7F7F7F"/>
              <w:left w:val="single" w:sz="4" w:space="0" w:color="000000"/>
              <w:bottom w:val="single" w:sz="4" w:space="0" w:color="7F7F7F"/>
              <w:right w:val="single" w:sz="4" w:space="0" w:color="000000"/>
            </w:tcBorders>
          </w:tcPr>
          <w:p w14:paraId="545BF205"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-4.77</w:t>
            </w:r>
          </w:p>
        </w:tc>
        <w:tc>
          <w:tcPr>
            <w:tcW w:w="1320" w:type="dxa"/>
            <w:tcBorders>
              <w:top w:val="single" w:sz="4" w:space="0" w:color="7F7F7F"/>
              <w:left w:val="single" w:sz="4" w:space="0" w:color="000000"/>
              <w:bottom w:val="single" w:sz="4" w:space="0" w:color="7F7F7F"/>
              <w:right w:val="single" w:sz="4" w:space="0" w:color="000000"/>
            </w:tcBorders>
          </w:tcPr>
          <w:p w14:paraId="666090C4"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8.08</w:t>
            </w:r>
          </w:p>
        </w:tc>
        <w:tc>
          <w:tcPr>
            <w:tcW w:w="1465" w:type="dxa"/>
            <w:tcBorders>
              <w:top w:val="single" w:sz="4" w:space="0" w:color="7F7F7F"/>
              <w:left w:val="single" w:sz="4" w:space="0" w:color="000000"/>
              <w:bottom w:val="single" w:sz="4" w:space="0" w:color="7F7F7F"/>
              <w:right w:val="single" w:sz="4" w:space="0" w:color="000000"/>
            </w:tcBorders>
          </w:tcPr>
          <w:p w14:paraId="219E9F13"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0.99</w:t>
            </w:r>
          </w:p>
        </w:tc>
        <w:tc>
          <w:tcPr>
            <w:tcW w:w="830" w:type="dxa"/>
            <w:tcBorders>
              <w:top w:val="single" w:sz="4" w:space="0" w:color="7F7F7F"/>
              <w:left w:val="single" w:sz="4" w:space="0" w:color="000000"/>
              <w:bottom w:val="single" w:sz="4" w:space="0" w:color="7F7F7F"/>
              <w:right w:val="single" w:sz="4" w:space="0" w:color="000000"/>
            </w:tcBorders>
          </w:tcPr>
          <w:p w14:paraId="5D4956A5"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0</w:t>
            </w:r>
          </w:p>
        </w:tc>
        <w:tc>
          <w:tcPr>
            <w:tcW w:w="1049" w:type="dxa"/>
            <w:tcBorders>
              <w:top w:val="single" w:sz="4" w:space="0" w:color="7F7F7F"/>
              <w:left w:val="single" w:sz="4" w:space="0" w:color="000000"/>
              <w:bottom w:val="single" w:sz="4" w:space="0" w:color="7F7F7F"/>
              <w:right w:val="single" w:sz="4" w:space="0" w:color="000000"/>
            </w:tcBorders>
          </w:tcPr>
          <w:p w14:paraId="618DE15D"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0.87</w:t>
            </w:r>
          </w:p>
        </w:tc>
        <w:tc>
          <w:tcPr>
            <w:tcW w:w="756" w:type="dxa"/>
            <w:tcBorders>
              <w:top w:val="single" w:sz="4" w:space="0" w:color="7F7F7F"/>
              <w:left w:val="single" w:sz="4" w:space="0" w:color="000000"/>
              <w:bottom w:val="single" w:sz="4" w:space="0" w:color="7F7F7F"/>
              <w:right w:val="single" w:sz="4" w:space="0" w:color="000000"/>
            </w:tcBorders>
          </w:tcPr>
          <w:p w14:paraId="1B0B9C6E"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0.38</w:t>
            </w:r>
          </w:p>
        </w:tc>
        <w:tc>
          <w:tcPr>
            <w:tcW w:w="737" w:type="dxa"/>
            <w:tcBorders>
              <w:top w:val="single" w:sz="4" w:space="0" w:color="7F7F7F"/>
              <w:left w:val="single" w:sz="4" w:space="0" w:color="000000"/>
              <w:bottom w:val="single" w:sz="4" w:space="0" w:color="7F7F7F"/>
              <w:right w:val="single" w:sz="4" w:space="0" w:color="000000"/>
            </w:tcBorders>
          </w:tcPr>
          <w:p w14:paraId="277CF42A"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184</w:t>
            </w:r>
          </w:p>
        </w:tc>
      </w:tr>
      <w:tr w:rsidR="002D3616" w14:paraId="40E504B9" w14:textId="77777777" w:rsidTr="00000FB1">
        <w:trPr>
          <w:trHeight w:val="349"/>
          <w:jc w:val="center"/>
        </w:trPr>
        <w:tc>
          <w:tcPr>
            <w:tcW w:w="3790" w:type="dxa"/>
            <w:tcBorders>
              <w:top w:val="single" w:sz="4" w:space="0" w:color="7F7F7F"/>
              <w:left w:val="single" w:sz="4" w:space="0" w:color="000000"/>
              <w:bottom w:val="single" w:sz="4" w:space="0" w:color="7F7F7F"/>
              <w:right w:val="single" w:sz="4" w:space="0" w:color="000000"/>
            </w:tcBorders>
          </w:tcPr>
          <w:p w14:paraId="143307BC" w14:textId="3E07F73C" w:rsidR="002D3616" w:rsidRDefault="004B76BC">
            <w:pPr>
              <w:jc w:val="both"/>
              <w:rPr>
                <w:rFonts w:ascii="Times" w:eastAsia="Times" w:hAnsi="Times" w:cs="Times"/>
              </w:rPr>
            </w:pPr>
            <w:r>
              <w:rPr>
                <w:rFonts w:ascii="Times" w:eastAsia="Times" w:hAnsi="Times" w:cs="Times"/>
              </w:rPr>
              <w:t xml:space="preserve">Model 3: </w:t>
            </w:r>
            <w:r w:rsidR="003470FA">
              <w:rPr>
                <w:rFonts w:ascii="Times" w:eastAsia="Times" w:hAnsi="Times" w:cs="Times"/>
              </w:rPr>
              <w:t xml:space="preserve">sFlt-1/PIGF ratio </w:t>
            </w:r>
            <w:r w:rsidR="003470FA">
              <w:rPr>
                <w:rFonts w:ascii="Times" w:eastAsia="Times" w:hAnsi="Times" w:cs="Times"/>
                <w:vertAlign w:val="superscript"/>
              </w:rPr>
              <w:t>+</w:t>
            </w:r>
          </w:p>
        </w:tc>
        <w:tc>
          <w:tcPr>
            <w:tcW w:w="1416" w:type="dxa"/>
            <w:tcBorders>
              <w:top w:val="single" w:sz="4" w:space="0" w:color="7F7F7F"/>
              <w:left w:val="single" w:sz="4" w:space="0" w:color="000000"/>
              <w:bottom w:val="single" w:sz="4" w:space="0" w:color="7F7F7F"/>
              <w:right w:val="single" w:sz="4" w:space="0" w:color="000000"/>
            </w:tcBorders>
          </w:tcPr>
          <w:p w14:paraId="04BC67C8"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-9.47</w:t>
            </w:r>
          </w:p>
        </w:tc>
        <w:tc>
          <w:tcPr>
            <w:tcW w:w="1320" w:type="dxa"/>
            <w:tcBorders>
              <w:top w:val="single" w:sz="4" w:space="0" w:color="7F7F7F"/>
              <w:left w:val="single" w:sz="4" w:space="0" w:color="000000"/>
              <w:bottom w:val="single" w:sz="4" w:space="0" w:color="7F7F7F"/>
              <w:right w:val="single" w:sz="4" w:space="0" w:color="000000"/>
            </w:tcBorders>
          </w:tcPr>
          <w:p w14:paraId="4AE604C6"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4.19</w:t>
            </w:r>
          </w:p>
        </w:tc>
        <w:tc>
          <w:tcPr>
            <w:tcW w:w="1465" w:type="dxa"/>
            <w:tcBorders>
              <w:top w:val="single" w:sz="4" w:space="0" w:color="7F7F7F"/>
              <w:left w:val="single" w:sz="4" w:space="0" w:color="000000"/>
              <w:bottom w:val="single" w:sz="4" w:space="0" w:color="7F7F7F"/>
              <w:right w:val="single" w:sz="4" w:space="0" w:color="000000"/>
            </w:tcBorders>
          </w:tcPr>
          <w:p w14:paraId="755204B5"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0.99</w:t>
            </w:r>
          </w:p>
        </w:tc>
        <w:tc>
          <w:tcPr>
            <w:tcW w:w="830" w:type="dxa"/>
            <w:tcBorders>
              <w:top w:val="single" w:sz="4" w:space="0" w:color="7F7F7F"/>
              <w:left w:val="single" w:sz="4" w:space="0" w:color="000000"/>
              <w:bottom w:val="single" w:sz="4" w:space="0" w:color="7F7F7F"/>
              <w:right w:val="single" w:sz="4" w:space="0" w:color="000000"/>
            </w:tcBorders>
          </w:tcPr>
          <w:p w14:paraId="668B795B"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0</w:t>
            </w:r>
          </w:p>
        </w:tc>
        <w:tc>
          <w:tcPr>
            <w:tcW w:w="1049" w:type="dxa"/>
            <w:tcBorders>
              <w:top w:val="single" w:sz="4" w:space="0" w:color="7F7F7F"/>
              <w:left w:val="single" w:sz="4" w:space="0" w:color="000000"/>
              <w:bottom w:val="single" w:sz="4" w:space="0" w:color="7F7F7F"/>
              <w:right w:val="single" w:sz="4" w:space="0" w:color="000000"/>
            </w:tcBorders>
          </w:tcPr>
          <w:p w14:paraId="0FBB7D97"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0.94</w:t>
            </w:r>
          </w:p>
        </w:tc>
        <w:tc>
          <w:tcPr>
            <w:tcW w:w="756" w:type="dxa"/>
            <w:tcBorders>
              <w:top w:val="single" w:sz="4" w:space="0" w:color="7F7F7F"/>
              <w:left w:val="single" w:sz="4" w:space="0" w:color="000000"/>
              <w:bottom w:val="single" w:sz="4" w:space="0" w:color="7F7F7F"/>
              <w:right w:val="single" w:sz="4" w:space="0" w:color="000000"/>
            </w:tcBorders>
          </w:tcPr>
          <w:p w14:paraId="26CDC20E"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0.57</w:t>
            </w:r>
          </w:p>
        </w:tc>
        <w:tc>
          <w:tcPr>
            <w:tcW w:w="737" w:type="dxa"/>
            <w:tcBorders>
              <w:top w:val="single" w:sz="4" w:space="0" w:color="7F7F7F"/>
              <w:left w:val="single" w:sz="4" w:space="0" w:color="000000"/>
              <w:bottom w:val="single" w:sz="4" w:space="0" w:color="7F7F7F"/>
              <w:right w:val="single" w:sz="4" w:space="0" w:color="000000"/>
            </w:tcBorders>
          </w:tcPr>
          <w:p w14:paraId="3E9A4F67"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139</w:t>
            </w:r>
          </w:p>
        </w:tc>
      </w:tr>
      <w:tr w:rsidR="002D3616" w14:paraId="2080EF0F" w14:textId="77777777" w:rsidTr="00000FB1">
        <w:trPr>
          <w:trHeight w:val="361"/>
          <w:jc w:val="center"/>
        </w:trPr>
        <w:tc>
          <w:tcPr>
            <w:tcW w:w="3790" w:type="dxa"/>
            <w:tcBorders>
              <w:top w:val="single" w:sz="4" w:space="0" w:color="7F7F7F"/>
              <w:left w:val="single" w:sz="4" w:space="0" w:color="000000"/>
              <w:bottom w:val="single" w:sz="4" w:space="0" w:color="7F7F7F"/>
              <w:right w:val="single" w:sz="4" w:space="0" w:color="000000"/>
            </w:tcBorders>
          </w:tcPr>
          <w:p w14:paraId="2CF31309" w14:textId="3DFADF9F" w:rsidR="002D3616" w:rsidRDefault="004B76BC">
            <w:pPr>
              <w:jc w:val="both"/>
              <w:rPr>
                <w:rFonts w:ascii="Times" w:eastAsia="Times" w:hAnsi="Times" w:cs="Times"/>
                <w:vertAlign w:val="superscript"/>
              </w:rPr>
            </w:pPr>
            <w:r>
              <w:rPr>
                <w:rFonts w:ascii="Times" w:eastAsia="Times" w:hAnsi="Times" w:cs="Times"/>
              </w:rPr>
              <w:t xml:space="preserve">Model 4: </w:t>
            </w:r>
            <w:r w:rsidR="003470FA">
              <w:rPr>
                <w:rFonts w:ascii="Times" w:eastAsia="Times" w:hAnsi="Times" w:cs="Times"/>
              </w:rPr>
              <w:t>sFlt-1/PIGF cut-off at 38</w:t>
            </w:r>
            <w:r w:rsidR="0064123C">
              <w:rPr>
                <w:rFonts w:ascii="Times" w:eastAsia="Times" w:hAnsi="Times" w:cs="Times"/>
              </w:rPr>
              <w:t xml:space="preserve"> </w:t>
            </w:r>
            <w:r w:rsidR="0064123C">
              <w:rPr>
                <w:rFonts w:ascii="Times" w:eastAsia="Times" w:hAnsi="Times" w:cs="Times"/>
                <w:vertAlign w:val="superscript"/>
              </w:rPr>
              <w:t>++</w:t>
            </w:r>
          </w:p>
        </w:tc>
        <w:tc>
          <w:tcPr>
            <w:tcW w:w="1416" w:type="dxa"/>
            <w:tcBorders>
              <w:top w:val="single" w:sz="4" w:space="0" w:color="7F7F7F"/>
              <w:left w:val="single" w:sz="4" w:space="0" w:color="000000"/>
              <w:bottom w:val="single" w:sz="4" w:space="0" w:color="7F7F7F"/>
              <w:right w:val="single" w:sz="4" w:space="0" w:color="000000"/>
            </w:tcBorders>
          </w:tcPr>
          <w:p w14:paraId="042E1458"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4.37</w:t>
            </w:r>
          </w:p>
        </w:tc>
        <w:tc>
          <w:tcPr>
            <w:tcW w:w="1320" w:type="dxa"/>
            <w:tcBorders>
              <w:top w:val="single" w:sz="4" w:space="0" w:color="7F7F7F"/>
              <w:left w:val="single" w:sz="4" w:space="0" w:color="000000"/>
              <w:bottom w:val="single" w:sz="4" w:space="0" w:color="7F7F7F"/>
              <w:right w:val="single" w:sz="4" w:space="0" w:color="000000"/>
            </w:tcBorders>
          </w:tcPr>
          <w:p w14:paraId="76CF1FCC"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-5.81</w:t>
            </w:r>
          </w:p>
        </w:tc>
        <w:tc>
          <w:tcPr>
            <w:tcW w:w="1465" w:type="dxa"/>
            <w:tcBorders>
              <w:top w:val="single" w:sz="4" w:space="0" w:color="7F7F7F"/>
              <w:left w:val="single" w:sz="4" w:space="0" w:color="000000"/>
              <w:bottom w:val="single" w:sz="4" w:space="0" w:color="7F7F7F"/>
              <w:right w:val="single" w:sz="4" w:space="0" w:color="000000"/>
            </w:tcBorders>
          </w:tcPr>
          <w:p w14:paraId="0303DF48"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0.84</w:t>
            </w:r>
          </w:p>
        </w:tc>
        <w:tc>
          <w:tcPr>
            <w:tcW w:w="830" w:type="dxa"/>
            <w:tcBorders>
              <w:top w:val="single" w:sz="4" w:space="0" w:color="7F7F7F"/>
              <w:left w:val="single" w:sz="4" w:space="0" w:color="000000"/>
              <w:bottom w:val="single" w:sz="4" w:space="0" w:color="7F7F7F"/>
              <w:right w:val="single" w:sz="4" w:space="0" w:color="000000"/>
            </w:tcBorders>
          </w:tcPr>
          <w:p w14:paraId="46997E89"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0</w:t>
            </w:r>
          </w:p>
        </w:tc>
        <w:tc>
          <w:tcPr>
            <w:tcW w:w="1049" w:type="dxa"/>
            <w:tcBorders>
              <w:top w:val="single" w:sz="4" w:space="0" w:color="7F7F7F"/>
              <w:left w:val="single" w:sz="4" w:space="0" w:color="000000"/>
              <w:bottom w:val="single" w:sz="4" w:space="0" w:color="7F7F7F"/>
              <w:right w:val="single" w:sz="4" w:space="0" w:color="000000"/>
            </w:tcBorders>
          </w:tcPr>
          <w:p w14:paraId="09981C27"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0.88</w:t>
            </w:r>
          </w:p>
        </w:tc>
        <w:tc>
          <w:tcPr>
            <w:tcW w:w="756" w:type="dxa"/>
            <w:tcBorders>
              <w:top w:val="single" w:sz="4" w:space="0" w:color="7F7F7F"/>
              <w:left w:val="single" w:sz="4" w:space="0" w:color="000000"/>
              <w:bottom w:val="single" w:sz="4" w:space="0" w:color="7F7F7F"/>
              <w:right w:val="single" w:sz="4" w:space="0" w:color="000000"/>
            </w:tcBorders>
          </w:tcPr>
          <w:p w14:paraId="2B7CA823"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0.46</w:t>
            </w:r>
          </w:p>
        </w:tc>
        <w:tc>
          <w:tcPr>
            <w:tcW w:w="737" w:type="dxa"/>
            <w:tcBorders>
              <w:top w:val="single" w:sz="4" w:space="0" w:color="7F7F7F"/>
              <w:left w:val="single" w:sz="4" w:space="0" w:color="000000"/>
              <w:bottom w:val="single" w:sz="4" w:space="0" w:color="7F7F7F"/>
              <w:right w:val="single" w:sz="4" w:space="0" w:color="000000"/>
            </w:tcBorders>
          </w:tcPr>
          <w:p w14:paraId="684B0162" w14:textId="77777777" w:rsidR="002D3616" w:rsidRDefault="00347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w:eastAsia="Times" w:hAnsi="Times" w:cs="Times"/>
              </w:rPr>
            </w:pPr>
            <w:r>
              <w:rPr>
                <w:rFonts w:ascii="Times" w:eastAsia="Times" w:hAnsi="Times" w:cs="Times"/>
              </w:rPr>
              <w:t>165</w:t>
            </w:r>
          </w:p>
        </w:tc>
      </w:tr>
    </w:tbl>
    <w:p w14:paraId="0D5FDFDB" w14:textId="77777777" w:rsidR="002D3616" w:rsidRDefault="002D3616">
      <w:pPr>
        <w:keepNext/>
        <w:pBdr>
          <w:top w:val="none" w:sz="0" w:space="0" w:color="000000"/>
          <w:left w:val="none" w:sz="0" w:space="0" w:color="000000"/>
          <w:bottom w:val="none" w:sz="0" w:space="0" w:color="000000"/>
          <w:right w:val="none" w:sz="0" w:space="0" w:color="000000"/>
          <w:between w:val="none" w:sz="0" w:space="0" w:color="000000"/>
        </w:pBdr>
        <w:spacing w:after="200" w:line="480" w:lineRule="auto"/>
        <w:jc w:val="both"/>
        <w:rPr>
          <w:rFonts w:ascii="Times" w:eastAsia="Times" w:hAnsi="Times" w:cs="Times"/>
          <w:b/>
          <w:color w:val="000000"/>
        </w:rPr>
      </w:pPr>
    </w:p>
    <w:p w14:paraId="321B7A06" w14:textId="6A39FB87" w:rsidR="002D3616" w:rsidRDefault="003470FA">
      <w:pPr>
        <w:keepNext/>
        <w:pBdr>
          <w:top w:val="none" w:sz="0" w:space="0" w:color="000000"/>
          <w:left w:val="none" w:sz="0" w:space="0" w:color="000000"/>
          <w:bottom w:val="none" w:sz="0" w:space="0" w:color="000000"/>
          <w:right w:val="none" w:sz="0" w:space="0" w:color="000000"/>
          <w:between w:val="none" w:sz="0" w:space="0" w:color="000000"/>
        </w:pBdr>
        <w:spacing w:after="200" w:line="480" w:lineRule="auto"/>
        <w:jc w:val="both"/>
        <w:rPr>
          <w:rFonts w:ascii="Times" w:eastAsia="Times" w:hAnsi="Times" w:cs="Times"/>
          <w:b/>
          <w:color w:val="000000"/>
        </w:rPr>
      </w:pPr>
      <w:r>
        <w:rPr>
          <w:rFonts w:ascii="Times" w:eastAsia="Times" w:hAnsi="Times" w:cs="Times"/>
          <w:b/>
          <w:color w:val="000000"/>
        </w:rPr>
        <w:t xml:space="preserve">Table </w:t>
      </w:r>
      <w:r w:rsidR="008778C4">
        <w:rPr>
          <w:rFonts w:ascii="Times" w:eastAsia="Times" w:hAnsi="Times" w:cs="Times"/>
          <w:b/>
          <w:color w:val="000000"/>
        </w:rPr>
        <w:t>3</w:t>
      </w:r>
      <w:r>
        <w:rPr>
          <w:rFonts w:ascii="Times" w:eastAsia="Times" w:hAnsi="Times" w:cs="Times"/>
          <w:b/>
          <w:color w:val="000000"/>
        </w:rPr>
        <w:t xml:space="preserve">. Performance measures of biomarkers in identifying preeclampsia. </w:t>
      </w:r>
    </w:p>
    <w:p w14:paraId="63250B20" w14:textId="6BA0E046"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PIGF = Placental growth factor; sFlt-1 - Soluble </w:t>
      </w:r>
      <w:proofErr w:type="spellStart"/>
      <w:r>
        <w:rPr>
          <w:rFonts w:ascii="Times" w:eastAsia="Times" w:hAnsi="Times" w:cs="Times"/>
          <w:color w:val="000000"/>
        </w:rPr>
        <w:t>fms</w:t>
      </w:r>
      <w:proofErr w:type="spellEnd"/>
      <w:r>
        <w:rPr>
          <w:rFonts w:ascii="Times" w:eastAsia="Times" w:hAnsi="Times" w:cs="Times"/>
          <w:color w:val="000000"/>
        </w:rPr>
        <w:t xml:space="preserve">-like tyrosine kinase – 1; CITL – calibration-in-the-large; BIC </w:t>
      </w:r>
      <w:r w:rsidR="008F11C5">
        <w:rPr>
          <w:rFonts w:ascii="Times" w:eastAsia="Times" w:hAnsi="Times" w:cs="Times"/>
          <w:color w:val="000000"/>
        </w:rPr>
        <w:t xml:space="preserve">= </w:t>
      </w:r>
      <w:r>
        <w:rPr>
          <w:rFonts w:ascii="Times" w:eastAsia="Times" w:hAnsi="Times" w:cs="Times"/>
          <w:color w:val="000000"/>
        </w:rPr>
        <w:t xml:space="preserve">Bayesian information criteria </w:t>
      </w:r>
      <w:r>
        <w:rPr>
          <w:rFonts w:ascii="Times" w:eastAsia="Times" w:hAnsi="Times" w:cs="Times"/>
          <w:color w:val="000000"/>
          <w:highlight w:val="yellow"/>
        </w:rPr>
        <w:t>(the lowe</w:t>
      </w:r>
      <w:r>
        <w:rPr>
          <w:rFonts w:ascii="Times" w:eastAsia="Times" w:hAnsi="Times" w:cs="Times"/>
          <w:highlight w:val="yellow"/>
        </w:rPr>
        <w:t>st BIC values indicating better model performance</w:t>
      </w:r>
      <w:r>
        <w:rPr>
          <w:rFonts w:ascii="Times" w:eastAsia="Times" w:hAnsi="Times" w:cs="Times"/>
          <w:color w:val="000000"/>
          <w:highlight w:val="yellow"/>
        </w:rPr>
        <w:t>)</w:t>
      </w:r>
      <w:r>
        <w:rPr>
          <w:rFonts w:ascii="Times" w:eastAsia="Times" w:hAnsi="Times" w:cs="Times"/>
          <w:color w:val="000000"/>
        </w:rPr>
        <w:t>; C-index – concordance index</w:t>
      </w:r>
    </w:p>
    <w:p w14:paraId="1F28A763" w14:textId="721AD224"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 Predictor variables are continuous values included in the model equation of biomarker/s as every unit </w:t>
      </w:r>
      <w:r w:rsidR="00F16F50">
        <w:rPr>
          <w:rFonts w:ascii="Times" w:eastAsia="Times" w:hAnsi="Times" w:cs="Times"/>
          <w:color w:val="000000"/>
        </w:rPr>
        <w:t>increases</w:t>
      </w:r>
      <w:r>
        <w:rPr>
          <w:rFonts w:ascii="Times" w:eastAsia="Times" w:hAnsi="Times" w:cs="Times"/>
          <w:color w:val="000000"/>
        </w:rPr>
        <w:t xml:space="preserve"> in log-scale. All model results are optimism corrected and adjusted </w:t>
      </w:r>
      <w:r>
        <w:rPr>
          <w:rFonts w:ascii="Times" w:eastAsia="Times" w:hAnsi="Times" w:cs="Times"/>
        </w:rPr>
        <w:t>for the trial</w:t>
      </w:r>
      <w:r>
        <w:rPr>
          <w:rFonts w:ascii="Times" w:eastAsia="Times" w:hAnsi="Times" w:cs="Times"/>
          <w:color w:val="000000"/>
        </w:rPr>
        <w:t xml:space="preserve"> arm.</w:t>
      </w:r>
      <w:r w:rsidR="00F16F50" w:rsidRPr="00F16F50">
        <w:rPr>
          <w:rFonts w:ascii="Times" w:eastAsia="Times" w:hAnsi="Times" w:cs="Times"/>
          <w:color w:val="000000"/>
        </w:rPr>
        <w:t xml:space="preserve"> </w:t>
      </w:r>
      <w:r w:rsidR="00F16F50">
        <w:rPr>
          <w:rFonts w:ascii="Times" w:eastAsia="Times" w:hAnsi="Times" w:cs="Times"/>
          <w:vertAlign w:val="superscript"/>
        </w:rPr>
        <w:t xml:space="preserve">++ </w:t>
      </w:r>
      <w:r w:rsidR="00F16F50">
        <w:rPr>
          <w:rFonts w:ascii="Times" w:eastAsia="Times" w:hAnsi="Times" w:cs="Times"/>
          <w:color w:val="000000"/>
        </w:rPr>
        <w:t xml:space="preserve">No log transformation applied for the </w:t>
      </w:r>
      <w:r w:rsidR="00000FB1">
        <w:rPr>
          <w:rFonts w:ascii="Times" w:eastAsia="Times" w:hAnsi="Times" w:cs="Times"/>
          <w:color w:val="000000"/>
        </w:rPr>
        <w:t xml:space="preserve">cut off </w:t>
      </w:r>
      <w:r w:rsidR="00F16F50">
        <w:rPr>
          <w:rFonts w:ascii="Times" w:eastAsia="Times" w:hAnsi="Times" w:cs="Times"/>
          <w:color w:val="000000"/>
        </w:rPr>
        <w:t>predictor variable.</w:t>
      </w:r>
    </w:p>
    <w:p w14:paraId="75AA55DB" w14:textId="77777777" w:rsidR="002D3616" w:rsidRDefault="002D3616">
      <w:pPr>
        <w:spacing w:line="480" w:lineRule="auto"/>
        <w:jc w:val="both"/>
        <w:rPr>
          <w:rFonts w:ascii="Times" w:eastAsia="Times" w:hAnsi="Times" w:cs="Times"/>
          <w:color w:val="000000"/>
        </w:rPr>
      </w:pPr>
    </w:p>
    <w:p w14:paraId="22ACAB0C" w14:textId="77777777" w:rsidR="002D3616" w:rsidRDefault="002D3616">
      <w:pPr>
        <w:spacing w:line="480" w:lineRule="auto"/>
        <w:jc w:val="both"/>
        <w:rPr>
          <w:rFonts w:ascii="Times" w:eastAsia="Times" w:hAnsi="Times" w:cs="Times"/>
          <w:b/>
          <w:color w:val="000000"/>
        </w:rPr>
      </w:pPr>
    </w:p>
    <w:p w14:paraId="6D0BC57C" w14:textId="77777777" w:rsidR="00761C2C" w:rsidRDefault="00761C2C">
      <w:pPr>
        <w:rPr>
          <w:rFonts w:ascii="Times" w:eastAsia="Times" w:hAnsi="Times" w:cs="Times"/>
          <w:b/>
          <w:color w:val="000000"/>
        </w:rPr>
      </w:pPr>
      <w:bookmarkStart w:id="13" w:name="_heading=h.lnxbz9" w:colFirst="0" w:colLast="0"/>
      <w:bookmarkEnd w:id="13"/>
      <w:r>
        <w:rPr>
          <w:rFonts w:ascii="Times" w:eastAsia="Times" w:hAnsi="Times" w:cs="Times"/>
          <w:b/>
          <w:color w:val="000000"/>
        </w:rPr>
        <w:br w:type="page"/>
      </w:r>
    </w:p>
    <w:p w14:paraId="552AA1D5" w14:textId="27C288ED" w:rsidR="002D3616" w:rsidRDefault="003470FA">
      <w:pPr>
        <w:rPr>
          <w:rFonts w:ascii="Times" w:eastAsia="Times" w:hAnsi="Times" w:cs="Times"/>
          <w:b/>
          <w:color w:val="000000"/>
        </w:rPr>
      </w:pPr>
      <w:r>
        <w:rPr>
          <w:rFonts w:ascii="Times" w:eastAsia="Times" w:hAnsi="Times" w:cs="Times"/>
          <w:b/>
          <w:color w:val="000000"/>
        </w:rPr>
        <w:lastRenderedPageBreak/>
        <w:t xml:space="preserve">Discussion </w:t>
      </w:r>
    </w:p>
    <w:p w14:paraId="5F8F443D" w14:textId="77777777" w:rsidR="002D3616" w:rsidRDefault="002D3616">
      <w:pPr>
        <w:rPr>
          <w:b/>
          <w:color w:val="000000"/>
        </w:rPr>
      </w:pPr>
    </w:p>
    <w:p w14:paraId="1639CC87" w14:textId="77777777" w:rsidR="002D3616" w:rsidRDefault="003470FA">
      <w:pPr>
        <w:spacing w:line="480" w:lineRule="auto"/>
        <w:jc w:val="both"/>
        <w:rPr>
          <w:rFonts w:ascii="Times" w:eastAsia="Times" w:hAnsi="Times" w:cs="Times"/>
          <w:b/>
          <w:color w:val="000000"/>
        </w:rPr>
      </w:pPr>
      <w:r>
        <w:rPr>
          <w:rFonts w:ascii="Times" w:eastAsia="Times" w:hAnsi="Times" w:cs="Times"/>
          <w:b/>
          <w:color w:val="000000"/>
        </w:rPr>
        <w:t>Main findings</w:t>
      </w:r>
    </w:p>
    <w:p w14:paraId="42680DE4" w14:textId="509566E6"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This study compared the discriminative ability of sFlt-1, </w:t>
      </w:r>
      <w:proofErr w:type="spellStart"/>
      <w:r>
        <w:rPr>
          <w:rFonts w:ascii="Times" w:eastAsia="Times" w:hAnsi="Times" w:cs="Times"/>
          <w:color w:val="000000"/>
        </w:rPr>
        <w:t>PlGF</w:t>
      </w:r>
      <w:proofErr w:type="spellEnd"/>
      <w:r>
        <w:rPr>
          <w:rFonts w:ascii="Times" w:eastAsia="Times" w:hAnsi="Times" w:cs="Times"/>
          <w:color w:val="000000"/>
        </w:rPr>
        <w:t>, sFlt-1/</w:t>
      </w:r>
      <w:proofErr w:type="spellStart"/>
      <w:r>
        <w:rPr>
          <w:rFonts w:ascii="Times" w:eastAsia="Times" w:hAnsi="Times" w:cs="Times"/>
          <w:color w:val="000000"/>
        </w:rPr>
        <w:t>PlGF</w:t>
      </w:r>
      <w:proofErr w:type="spellEnd"/>
      <w:r>
        <w:rPr>
          <w:rFonts w:ascii="Times" w:eastAsia="Times" w:hAnsi="Times" w:cs="Times"/>
          <w:color w:val="000000"/>
        </w:rPr>
        <w:t xml:space="preserve"> ratio and sFlt-1/</w:t>
      </w:r>
      <w:proofErr w:type="spellStart"/>
      <w:r>
        <w:rPr>
          <w:rFonts w:ascii="Times" w:eastAsia="Times" w:hAnsi="Times" w:cs="Times"/>
          <w:color w:val="000000"/>
        </w:rPr>
        <w:t>PlGF</w:t>
      </w:r>
      <w:proofErr w:type="spellEnd"/>
      <w:r>
        <w:rPr>
          <w:rFonts w:ascii="Times" w:eastAsia="Times" w:hAnsi="Times" w:cs="Times"/>
          <w:color w:val="000000"/>
        </w:rPr>
        <w:t xml:space="preserve"> ratio using a binary cut-off of 38 for identifying preeclampsia within 7 days of screening. The continuous values of biomarkers sFlt-1 alone and sFlt-1/PIGF ratio had comparable predictive performance with similar discrimination ability to identify PE cases. These performed better than </w:t>
      </w:r>
      <w:proofErr w:type="spellStart"/>
      <w:r>
        <w:rPr>
          <w:rFonts w:ascii="Times" w:eastAsia="Times" w:hAnsi="Times" w:cs="Times"/>
          <w:color w:val="000000"/>
        </w:rPr>
        <w:t>PlGF</w:t>
      </w:r>
      <w:proofErr w:type="spellEnd"/>
      <w:r>
        <w:rPr>
          <w:rFonts w:ascii="Times" w:eastAsia="Times" w:hAnsi="Times" w:cs="Times"/>
          <w:color w:val="000000"/>
        </w:rPr>
        <w:t xml:space="preserve"> alone.  Interestingly, in our dataset, the commonly used sFlt-1/</w:t>
      </w:r>
      <w:proofErr w:type="spellStart"/>
      <w:r>
        <w:rPr>
          <w:rFonts w:ascii="Times" w:eastAsia="Times" w:hAnsi="Times" w:cs="Times"/>
          <w:color w:val="000000"/>
        </w:rPr>
        <w:t>PlGF</w:t>
      </w:r>
      <w:proofErr w:type="spellEnd"/>
      <w:r>
        <w:rPr>
          <w:rFonts w:ascii="Times" w:eastAsia="Times" w:hAnsi="Times" w:cs="Times"/>
          <w:color w:val="000000"/>
        </w:rPr>
        <w:t xml:space="preserve"> ratio using a binary cut-off of 38 models had poorer predictive performance relative to other models considered. This finding was in line with the fact that biomarkers perform better as continuous variables than as dichotomous cut-offs as it is more biologically plausible because the disease is a continuum </w:t>
      </w:r>
      <w:r>
        <w:rPr>
          <w:rFonts w:ascii="Times" w:eastAsia="Times" w:hAnsi="Times" w:cs="Times"/>
          <w:color w:val="000000"/>
          <w:vertAlign w:val="superscript"/>
        </w:rPr>
        <w:t>17</w:t>
      </w:r>
      <w:r>
        <w:rPr>
          <w:rFonts w:ascii="Times" w:eastAsia="Times" w:hAnsi="Times" w:cs="Times"/>
          <w:color w:val="000000"/>
        </w:rPr>
        <w:t xml:space="preserve">, and in particular in preeclampsia, where the biomarkers are related to its pathogenesis </w:t>
      </w:r>
      <w:r>
        <w:rPr>
          <w:rFonts w:ascii="Times" w:eastAsia="Times" w:hAnsi="Times" w:cs="Times"/>
          <w:color w:val="000000"/>
          <w:vertAlign w:val="superscript"/>
        </w:rPr>
        <w:t>28</w:t>
      </w:r>
      <w:r>
        <w:rPr>
          <w:rFonts w:ascii="Times" w:eastAsia="Times" w:hAnsi="Times" w:cs="Times"/>
          <w:color w:val="000000"/>
        </w:rPr>
        <w:t>. This finding highlights the need for further studies to evaluate approaches for handling biomarkers (continuous versus cut off) for identifying PE.</w:t>
      </w:r>
    </w:p>
    <w:p w14:paraId="2CE9BC2C" w14:textId="77777777" w:rsidR="002D3616" w:rsidRDefault="002D3616">
      <w:pPr>
        <w:spacing w:line="480" w:lineRule="auto"/>
        <w:jc w:val="both"/>
        <w:rPr>
          <w:rFonts w:ascii="Times" w:eastAsia="Times" w:hAnsi="Times" w:cs="Times"/>
          <w:color w:val="000000"/>
        </w:rPr>
      </w:pPr>
    </w:p>
    <w:p w14:paraId="1DE49D62" w14:textId="77777777" w:rsidR="002D3616" w:rsidRDefault="003470FA">
      <w:pPr>
        <w:spacing w:before="240" w:line="480" w:lineRule="auto"/>
        <w:jc w:val="both"/>
        <w:rPr>
          <w:rFonts w:ascii="Times" w:eastAsia="Times" w:hAnsi="Times" w:cs="Times"/>
          <w:b/>
          <w:color w:val="000000"/>
        </w:rPr>
      </w:pPr>
      <w:r>
        <w:rPr>
          <w:rFonts w:ascii="Times" w:eastAsia="Times" w:hAnsi="Times" w:cs="Times"/>
          <w:b/>
          <w:color w:val="000000"/>
        </w:rPr>
        <w:t>Interpretation</w:t>
      </w:r>
    </w:p>
    <w:p w14:paraId="66767152" w14:textId="77777777" w:rsidR="002D3616" w:rsidRDefault="003470FA">
      <w:pPr>
        <w:spacing w:before="240" w:line="480" w:lineRule="auto"/>
        <w:jc w:val="both"/>
        <w:rPr>
          <w:rFonts w:ascii="Times" w:eastAsia="Times" w:hAnsi="Times" w:cs="Times"/>
          <w:color w:val="000000"/>
        </w:rPr>
      </w:pPr>
      <w:r>
        <w:rPr>
          <w:rFonts w:ascii="Times" w:eastAsia="Times" w:hAnsi="Times" w:cs="Times"/>
          <w:color w:val="000000"/>
        </w:rPr>
        <w:t xml:space="preserve">Studies that utilise continuous values of biomarkers for the prediction of preeclampsia are limited as many biomarker-based prediction studies often employ cut off values </w:t>
      </w:r>
      <w:r>
        <w:rPr>
          <w:rFonts w:ascii="Times" w:eastAsia="Times" w:hAnsi="Times" w:cs="Times"/>
          <w:color w:val="000000"/>
          <w:vertAlign w:val="superscript"/>
        </w:rPr>
        <w:t>10</w:t>
      </w:r>
      <w:r>
        <w:rPr>
          <w:rFonts w:ascii="Times" w:eastAsia="Times" w:hAnsi="Times" w:cs="Times"/>
          <w:color w:val="000000"/>
        </w:rPr>
        <w:t xml:space="preserve"> or predict maternal outcomes after the diagnosis of preeclampsia </w:t>
      </w:r>
      <w:r>
        <w:rPr>
          <w:rFonts w:ascii="Times" w:eastAsia="Times" w:hAnsi="Times" w:cs="Times"/>
          <w:color w:val="000000"/>
          <w:vertAlign w:val="superscript"/>
        </w:rPr>
        <w:t>29</w:t>
      </w:r>
      <w:r>
        <w:rPr>
          <w:rFonts w:ascii="Times" w:eastAsia="Times" w:hAnsi="Times" w:cs="Times"/>
          <w:color w:val="000000"/>
        </w:rPr>
        <w:t xml:space="preserve">. A systematic review and meta-analysis of the sFlt-1/PIGF ratio cut off for prediction of PE pointed out that the ratio-based model has a good predictive potential but conclusive evidence is lacking because of the differences in the choice of cut-offs used, timing and frequency of testing, and due to heterogeneity in the target population </w:t>
      </w:r>
      <w:r>
        <w:rPr>
          <w:rFonts w:ascii="Times" w:eastAsia="Times" w:hAnsi="Times" w:cs="Times"/>
          <w:color w:val="000000"/>
          <w:vertAlign w:val="superscript"/>
        </w:rPr>
        <w:t>10</w:t>
      </w:r>
      <w:r>
        <w:rPr>
          <w:rFonts w:ascii="Times" w:eastAsia="Times" w:hAnsi="Times" w:cs="Times"/>
          <w:color w:val="000000"/>
        </w:rPr>
        <w:t xml:space="preserve">. Saleh et al compared the continuous versus cut off based biomarker-based prediction of pregnancy complications including preeclampsia </w:t>
      </w:r>
      <w:r>
        <w:rPr>
          <w:rFonts w:ascii="Times" w:eastAsia="Times" w:hAnsi="Times" w:cs="Times"/>
          <w:color w:val="000000"/>
          <w:vertAlign w:val="superscript"/>
        </w:rPr>
        <w:t>17</w:t>
      </w:r>
      <w:r>
        <w:rPr>
          <w:rFonts w:ascii="Times" w:eastAsia="Times" w:hAnsi="Times" w:cs="Times"/>
          <w:color w:val="000000"/>
        </w:rPr>
        <w:t xml:space="preserve"> and found that continuous value of sFlt-1/</w:t>
      </w:r>
      <w:proofErr w:type="spellStart"/>
      <w:r>
        <w:rPr>
          <w:rFonts w:ascii="Times" w:eastAsia="Times" w:hAnsi="Times" w:cs="Times"/>
          <w:color w:val="000000"/>
        </w:rPr>
        <w:t>PlGF</w:t>
      </w:r>
      <w:proofErr w:type="spellEnd"/>
      <w:r>
        <w:rPr>
          <w:rFonts w:ascii="Times" w:eastAsia="Times" w:hAnsi="Times" w:cs="Times"/>
          <w:color w:val="000000"/>
        </w:rPr>
        <w:t xml:space="preserve"> ratio had high discrimination performance with </w:t>
      </w:r>
      <w:r>
        <w:rPr>
          <w:rFonts w:ascii="Times" w:eastAsia="Times" w:hAnsi="Times" w:cs="Times"/>
          <w:color w:val="000000"/>
        </w:rPr>
        <w:lastRenderedPageBreak/>
        <w:t xml:space="preserve">sFlt-1 and </w:t>
      </w:r>
      <w:proofErr w:type="spellStart"/>
      <w:r>
        <w:rPr>
          <w:rFonts w:ascii="Times" w:eastAsia="Times" w:hAnsi="Times" w:cs="Times"/>
          <w:color w:val="000000"/>
        </w:rPr>
        <w:t>PlGF</w:t>
      </w:r>
      <w:proofErr w:type="spellEnd"/>
      <w:r>
        <w:rPr>
          <w:rFonts w:ascii="Times" w:eastAsia="Times" w:hAnsi="Times" w:cs="Times"/>
          <w:color w:val="000000"/>
        </w:rPr>
        <w:t xml:space="preserve"> cut off values having lower predictive ability than the continuous biomarker values. Perry et al. </w:t>
      </w:r>
      <w:r>
        <w:rPr>
          <w:rFonts w:ascii="Times" w:eastAsia="Times" w:hAnsi="Times" w:cs="Times"/>
          <w:color w:val="000000"/>
          <w:vertAlign w:val="superscript"/>
        </w:rPr>
        <w:t>30</w:t>
      </w:r>
      <w:r>
        <w:rPr>
          <w:rFonts w:ascii="Times" w:eastAsia="Times" w:hAnsi="Times" w:cs="Times"/>
          <w:color w:val="000000"/>
        </w:rPr>
        <w:t xml:space="preserve"> also showed that continuous values of sFlt-1/</w:t>
      </w:r>
      <w:proofErr w:type="spellStart"/>
      <w:r>
        <w:rPr>
          <w:rFonts w:ascii="Times" w:eastAsia="Times" w:hAnsi="Times" w:cs="Times"/>
          <w:color w:val="000000"/>
        </w:rPr>
        <w:t>PlGF</w:t>
      </w:r>
      <w:proofErr w:type="spellEnd"/>
      <w:r>
        <w:rPr>
          <w:rFonts w:ascii="Times" w:eastAsia="Times" w:hAnsi="Times" w:cs="Times"/>
          <w:color w:val="000000"/>
        </w:rPr>
        <w:t xml:space="preserve"> ratio performed better than cut off based predictions with an additive value from baseline clinical predictors. Our findings were consistent with the findings of Saleh et al and Perry et al. However, these previous studies had a target population of pregnancies already complicated with preeclampsia, gestational hypertension, or chronic hypertension; making direct comparisons difficult because the study participants included in the INSPIRE trial were only women suspected with preeclampsia </w:t>
      </w:r>
      <w:r>
        <w:rPr>
          <w:rFonts w:ascii="Times" w:eastAsia="Times" w:hAnsi="Times" w:cs="Times"/>
          <w:color w:val="000000"/>
          <w:vertAlign w:val="superscript"/>
        </w:rPr>
        <w:t>21</w:t>
      </w:r>
      <w:r>
        <w:rPr>
          <w:rFonts w:ascii="Times" w:eastAsia="Times" w:hAnsi="Times" w:cs="Times"/>
          <w:color w:val="000000"/>
        </w:rPr>
        <w:t>.</w:t>
      </w:r>
    </w:p>
    <w:p w14:paraId="68E643E2" w14:textId="77777777" w:rsidR="002D3616" w:rsidRDefault="003470FA">
      <w:pPr>
        <w:spacing w:before="240" w:line="480" w:lineRule="auto"/>
        <w:jc w:val="both"/>
        <w:rPr>
          <w:rFonts w:ascii="Times" w:eastAsia="Times" w:hAnsi="Times" w:cs="Times"/>
          <w:color w:val="000000"/>
        </w:rPr>
      </w:pPr>
      <w:r>
        <w:rPr>
          <w:rFonts w:ascii="Times" w:eastAsia="Times" w:hAnsi="Times" w:cs="Times"/>
          <w:color w:val="000000"/>
        </w:rPr>
        <w:t xml:space="preserve">In our study, models for sFlt-1 or sFlt-1/PIGF ratio had similar performance in terms of calibration and discrimination. This finding concurs with the results reported in the preeclampsia prediction literature </w:t>
      </w:r>
      <w:r>
        <w:rPr>
          <w:rFonts w:ascii="Times" w:eastAsia="Times" w:hAnsi="Times" w:cs="Times"/>
          <w:color w:val="000000"/>
          <w:vertAlign w:val="superscript"/>
        </w:rPr>
        <w:t>10</w:t>
      </w:r>
      <w:r>
        <w:rPr>
          <w:rFonts w:ascii="Times" w:eastAsia="Times" w:hAnsi="Times" w:cs="Times"/>
          <w:color w:val="000000"/>
        </w:rPr>
        <w:t xml:space="preserve"> </w:t>
      </w:r>
      <w:r>
        <w:rPr>
          <w:rFonts w:ascii="Times" w:eastAsia="Times" w:hAnsi="Times" w:cs="Times"/>
          <w:color w:val="000000"/>
          <w:vertAlign w:val="superscript"/>
        </w:rPr>
        <w:t>16</w:t>
      </w:r>
      <w:r>
        <w:rPr>
          <w:rFonts w:ascii="Times" w:eastAsia="Times" w:hAnsi="Times" w:cs="Times"/>
          <w:color w:val="000000"/>
        </w:rPr>
        <w:t>. For instance, Anderson et al. found that PIGF and sFlt-1/</w:t>
      </w:r>
      <w:proofErr w:type="spellStart"/>
      <w:r>
        <w:rPr>
          <w:rFonts w:ascii="Times" w:eastAsia="Times" w:hAnsi="Times" w:cs="Times"/>
          <w:color w:val="000000"/>
        </w:rPr>
        <w:t>PlGF</w:t>
      </w:r>
      <w:proofErr w:type="spellEnd"/>
      <w:r>
        <w:rPr>
          <w:rFonts w:ascii="Times" w:eastAsia="Times" w:hAnsi="Times" w:cs="Times"/>
          <w:color w:val="000000"/>
        </w:rPr>
        <w:t xml:space="preserve"> ratio values had a good predictive performance for early-onset and severe preeclampsia cases with PIGF having slightly better performance but with no significant difference between the tests </w:t>
      </w:r>
      <w:r>
        <w:rPr>
          <w:rFonts w:ascii="Times" w:eastAsia="Times" w:hAnsi="Times" w:cs="Times"/>
          <w:color w:val="000000"/>
          <w:vertAlign w:val="superscript"/>
        </w:rPr>
        <w:t>16</w:t>
      </w:r>
      <w:r>
        <w:rPr>
          <w:rFonts w:ascii="Times" w:eastAsia="Times" w:hAnsi="Times" w:cs="Times"/>
          <w:color w:val="000000"/>
        </w:rPr>
        <w:t xml:space="preserve">. </w:t>
      </w:r>
    </w:p>
    <w:p w14:paraId="64C720EC" w14:textId="77777777" w:rsidR="002D3616" w:rsidRDefault="003470FA">
      <w:pPr>
        <w:spacing w:before="240" w:line="480" w:lineRule="auto"/>
        <w:jc w:val="both"/>
        <w:rPr>
          <w:rFonts w:ascii="Times" w:eastAsia="Times" w:hAnsi="Times" w:cs="Times"/>
          <w:color w:val="000000"/>
        </w:rPr>
      </w:pPr>
      <w:r>
        <w:rPr>
          <w:rFonts w:ascii="Times" w:eastAsia="Times" w:hAnsi="Times" w:cs="Times"/>
          <w:color w:val="000000"/>
        </w:rPr>
        <w:t xml:space="preserve">In our study, the PIGF model had lower overall predictive and discriminative performance than sFlt-1 and sFlt-1/PIGF ratio models. A systematic review on the value of PIGF as a prognostic tool found that  </w:t>
      </w:r>
      <w:proofErr w:type="spellStart"/>
      <w:r>
        <w:rPr>
          <w:rFonts w:ascii="Times" w:eastAsia="Times" w:hAnsi="Times" w:cs="Times"/>
          <w:color w:val="000000"/>
        </w:rPr>
        <w:t>PlGF</w:t>
      </w:r>
      <w:proofErr w:type="spellEnd"/>
      <w:r>
        <w:rPr>
          <w:rFonts w:ascii="Times" w:eastAsia="Times" w:hAnsi="Times" w:cs="Times"/>
          <w:color w:val="000000"/>
        </w:rPr>
        <w:t xml:space="preserve"> had moderate-to-high evidence for identifying women at the highest risk of preterm delivery or neonatal outcomes but showed no clinically useful performance for the prediction of adverse maternal outcomes </w:t>
      </w:r>
      <w:r>
        <w:rPr>
          <w:rFonts w:ascii="Times" w:eastAsia="Times" w:hAnsi="Times" w:cs="Times"/>
          <w:color w:val="000000"/>
          <w:vertAlign w:val="superscript"/>
        </w:rPr>
        <w:t>8</w:t>
      </w:r>
      <w:r>
        <w:rPr>
          <w:rFonts w:ascii="Times" w:eastAsia="Times" w:hAnsi="Times" w:cs="Times"/>
          <w:color w:val="000000"/>
        </w:rPr>
        <w:t xml:space="preserve">. This might be physiologically plausible as PIGF levels are considered to be associated with other non-placental factors and intrauterine growth restriction; in contrast to sFlt-1 levels which have a strong correlation with the placenta </w:t>
      </w:r>
      <w:r>
        <w:rPr>
          <w:rFonts w:ascii="Times" w:eastAsia="Times" w:hAnsi="Times" w:cs="Times"/>
          <w:color w:val="000000"/>
          <w:vertAlign w:val="superscript"/>
        </w:rPr>
        <w:t>31</w:t>
      </w:r>
      <w:r>
        <w:rPr>
          <w:rFonts w:ascii="Times" w:eastAsia="Times" w:hAnsi="Times" w:cs="Times"/>
          <w:color w:val="000000"/>
        </w:rPr>
        <w:t xml:space="preserve">. Furthermore, free </w:t>
      </w:r>
      <w:proofErr w:type="spellStart"/>
      <w:r>
        <w:rPr>
          <w:rFonts w:ascii="Times" w:eastAsia="Times" w:hAnsi="Times" w:cs="Times"/>
          <w:color w:val="000000"/>
        </w:rPr>
        <w:t>PlGF</w:t>
      </w:r>
      <w:proofErr w:type="spellEnd"/>
      <w:r>
        <w:rPr>
          <w:rFonts w:ascii="Times" w:eastAsia="Times" w:hAnsi="Times" w:cs="Times"/>
          <w:color w:val="000000"/>
        </w:rPr>
        <w:t xml:space="preserve"> levels seem to be decreased in preeclampsia mostly as a consequence of sFlt-1 binding </w:t>
      </w:r>
      <w:r>
        <w:rPr>
          <w:rFonts w:ascii="Times" w:eastAsia="Times" w:hAnsi="Times" w:cs="Times"/>
          <w:color w:val="000000"/>
          <w:vertAlign w:val="superscript"/>
        </w:rPr>
        <w:t>32</w:t>
      </w:r>
      <w:r>
        <w:rPr>
          <w:rFonts w:ascii="Times" w:eastAsia="Times" w:hAnsi="Times" w:cs="Times"/>
          <w:color w:val="000000"/>
        </w:rPr>
        <w:t xml:space="preserve">. Nevertheless, </w:t>
      </w:r>
      <w:proofErr w:type="spellStart"/>
      <w:r>
        <w:rPr>
          <w:rFonts w:ascii="Times" w:eastAsia="Times" w:hAnsi="Times" w:cs="Times"/>
          <w:color w:val="000000"/>
        </w:rPr>
        <w:t>Ukah</w:t>
      </w:r>
      <w:proofErr w:type="spellEnd"/>
      <w:r>
        <w:rPr>
          <w:rFonts w:ascii="Times" w:eastAsia="Times" w:hAnsi="Times" w:cs="Times"/>
          <w:color w:val="000000"/>
        </w:rPr>
        <w:t xml:space="preserve"> et al. did recognise that it is not clear if PIGF performs better alone or in combination, and more studies are needed to assess this </w:t>
      </w:r>
      <w:r>
        <w:rPr>
          <w:rFonts w:ascii="Times" w:eastAsia="Times" w:hAnsi="Times" w:cs="Times"/>
          <w:color w:val="000000"/>
          <w:vertAlign w:val="superscript"/>
        </w:rPr>
        <w:t>8</w:t>
      </w:r>
      <w:r>
        <w:rPr>
          <w:rFonts w:ascii="Times" w:eastAsia="Times" w:hAnsi="Times" w:cs="Times"/>
          <w:color w:val="000000"/>
        </w:rPr>
        <w:t xml:space="preserve">. In real-world </w:t>
      </w:r>
      <w:r>
        <w:rPr>
          <w:rFonts w:ascii="Times" w:eastAsia="Times" w:hAnsi="Times" w:cs="Times"/>
          <w:color w:val="000000"/>
        </w:rPr>
        <w:lastRenderedPageBreak/>
        <w:t xml:space="preserve">clinical practice, the use of PIGF is reported to have a predictive potential for delivery of small for gestational age infants </w:t>
      </w:r>
      <w:r>
        <w:rPr>
          <w:rFonts w:ascii="Times" w:eastAsia="Times" w:hAnsi="Times" w:cs="Times"/>
          <w:color w:val="000000"/>
          <w:vertAlign w:val="superscript"/>
        </w:rPr>
        <w:t>33</w:t>
      </w:r>
      <w:r>
        <w:rPr>
          <w:rFonts w:ascii="Times" w:eastAsia="Times" w:hAnsi="Times" w:cs="Times"/>
          <w:color w:val="000000"/>
        </w:rPr>
        <w:t xml:space="preserve"> and lower time for preeclampsia diagnosis by clinicians </w:t>
      </w:r>
      <w:r>
        <w:rPr>
          <w:rFonts w:ascii="Times" w:eastAsia="Times" w:hAnsi="Times" w:cs="Times"/>
          <w:color w:val="000000"/>
          <w:vertAlign w:val="superscript"/>
        </w:rPr>
        <w:t>9</w:t>
      </w:r>
      <w:r>
        <w:rPr>
          <w:rFonts w:ascii="Times" w:eastAsia="Times" w:hAnsi="Times" w:cs="Times"/>
          <w:color w:val="000000"/>
        </w:rPr>
        <w:t xml:space="preserve">. </w:t>
      </w:r>
    </w:p>
    <w:p w14:paraId="4646E62F" w14:textId="77777777" w:rsidR="002D3616" w:rsidRDefault="002D3616">
      <w:pPr>
        <w:spacing w:line="480" w:lineRule="auto"/>
        <w:jc w:val="both"/>
        <w:rPr>
          <w:rFonts w:ascii="Times" w:eastAsia="Times" w:hAnsi="Times" w:cs="Times"/>
          <w:color w:val="000000"/>
        </w:rPr>
      </w:pPr>
    </w:p>
    <w:p w14:paraId="28F97ADB" w14:textId="77777777" w:rsidR="002D3616" w:rsidRDefault="003470FA">
      <w:pPr>
        <w:spacing w:line="480" w:lineRule="auto"/>
        <w:jc w:val="both"/>
        <w:rPr>
          <w:rFonts w:ascii="Times" w:eastAsia="Times" w:hAnsi="Times" w:cs="Times"/>
          <w:b/>
          <w:color w:val="000000"/>
        </w:rPr>
      </w:pPr>
      <w:r>
        <w:rPr>
          <w:rFonts w:ascii="Times" w:eastAsia="Times" w:hAnsi="Times" w:cs="Times"/>
          <w:b/>
          <w:color w:val="000000"/>
        </w:rPr>
        <w:t>Strengths and limitations</w:t>
      </w:r>
    </w:p>
    <w:p w14:paraId="05EAFEFA"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Our study has several strengths and limitations. The predictive ability of the biomarkers was assessed as continuous variables as recommended in prognostic model development </w:t>
      </w:r>
      <w:r>
        <w:rPr>
          <w:rFonts w:ascii="Times" w:eastAsia="Times" w:hAnsi="Times" w:cs="Times"/>
          <w:color w:val="000000"/>
          <w:vertAlign w:val="superscript"/>
        </w:rPr>
        <w:t>19</w:t>
      </w:r>
      <w:r>
        <w:rPr>
          <w:rFonts w:ascii="Times" w:eastAsia="Times" w:hAnsi="Times" w:cs="Times"/>
          <w:color w:val="000000"/>
        </w:rPr>
        <w:t>. Prior to starting modelling, the recommended test of sample size adequacy was performed and only parameters with the minimum events were included, indicating the relevance of the parameters used for model building. Adjustment of model performance parameters by bootstrapping also increased the likelihood of having realistic model performance measures.</w:t>
      </w:r>
    </w:p>
    <w:p w14:paraId="23446103"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However, the INSPIRE trial was a single centre study and the institution-specific level practices and overall context might affect the generalisability of the study findings. Finally, the small number of events in our study limited the scope of constructing a multivariable model with other potentially important parameters such as age, parity, and BMI. </w:t>
      </w:r>
    </w:p>
    <w:p w14:paraId="114A7FAB" w14:textId="77777777" w:rsidR="002D3616" w:rsidRDefault="002D3616">
      <w:pPr>
        <w:spacing w:line="480" w:lineRule="auto"/>
        <w:jc w:val="both"/>
        <w:rPr>
          <w:rFonts w:ascii="Times" w:eastAsia="Times" w:hAnsi="Times" w:cs="Times"/>
          <w:color w:val="000000"/>
        </w:rPr>
      </w:pPr>
    </w:p>
    <w:p w14:paraId="721072D9" w14:textId="77777777" w:rsidR="002D3616" w:rsidRDefault="003470FA">
      <w:pPr>
        <w:spacing w:line="480" w:lineRule="auto"/>
        <w:jc w:val="both"/>
        <w:rPr>
          <w:rFonts w:ascii="Times" w:eastAsia="Times" w:hAnsi="Times" w:cs="Times"/>
          <w:b/>
          <w:color w:val="000000"/>
        </w:rPr>
      </w:pPr>
      <w:r>
        <w:rPr>
          <w:rFonts w:ascii="Times" w:eastAsia="Times" w:hAnsi="Times" w:cs="Times"/>
          <w:b/>
          <w:color w:val="000000"/>
        </w:rPr>
        <w:t>Conclusion</w:t>
      </w:r>
    </w:p>
    <w:p w14:paraId="7C12E3B8" w14:textId="77777777" w:rsidR="002D3616" w:rsidRDefault="003470FA">
      <w:pPr>
        <w:spacing w:line="480" w:lineRule="auto"/>
        <w:jc w:val="both"/>
        <w:rPr>
          <w:rFonts w:ascii="Times" w:eastAsia="Times" w:hAnsi="Times" w:cs="Times"/>
          <w:b/>
          <w:color w:val="000000"/>
        </w:rPr>
      </w:pPr>
      <w:bookmarkStart w:id="14" w:name="_heading=h.35nkun2" w:colFirst="0" w:colLast="0"/>
      <w:bookmarkEnd w:id="14"/>
      <w:r>
        <w:rPr>
          <w:rFonts w:ascii="Times" w:eastAsia="Times" w:hAnsi="Times" w:cs="Times"/>
          <w:color w:val="000000"/>
        </w:rPr>
        <w:t>Using continuous values of either sFlt-1/PIGF ratio or sFlt-1 alone had better predictive performance over models based only on continuous values of PIGF only and sFlt-1/</w:t>
      </w:r>
      <w:proofErr w:type="spellStart"/>
      <w:r>
        <w:rPr>
          <w:rFonts w:ascii="Times" w:eastAsia="Times" w:hAnsi="Times" w:cs="Times"/>
          <w:color w:val="000000"/>
        </w:rPr>
        <w:t>PlGF</w:t>
      </w:r>
      <w:proofErr w:type="spellEnd"/>
      <w:r>
        <w:rPr>
          <w:rFonts w:ascii="Times" w:eastAsia="Times" w:hAnsi="Times" w:cs="Times"/>
          <w:color w:val="000000"/>
        </w:rPr>
        <w:t xml:space="preserve"> cut-off at 38. There was no obvious incremental value in using sFlt-1 only or sFlt-1/PIGF ratio values as they both had comparable predictive performance. More studies with larger numbers of patients and sufficient outcome variables are warranted to evaluate whether the ratio cut-off of 38 or an alternative that is based on a continuous value of a single biomarker or ratio can perform better in predicting PE.</w:t>
      </w:r>
      <w:r>
        <w:br w:type="page"/>
      </w:r>
    </w:p>
    <w:p w14:paraId="7BB6F177" w14:textId="77777777" w:rsidR="002D3616" w:rsidRDefault="003470FA">
      <w:pPr>
        <w:pBdr>
          <w:top w:val="nil"/>
          <w:left w:val="nil"/>
          <w:bottom w:val="nil"/>
          <w:right w:val="nil"/>
          <w:between w:val="nil"/>
        </w:pBdr>
        <w:shd w:val="clear" w:color="auto" w:fill="FFFFFF"/>
        <w:spacing w:before="240" w:line="480" w:lineRule="auto"/>
        <w:ind w:left="360" w:hanging="360"/>
        <w:jc w:val="both"/>
        <w:rPr>
          <w:rFonts w:ascii="Times" w:eastAsia="Times" w:hAnsi="Times" w:cs="Times"/>
          <w:b/>
          <w:color w:val="000000"/>
        </w:rPr>
      </w:pPr>
      <w:bookmarkStart w:id="15" w:name="_heading=h.1ksv4uv" w:colFirst="0" w:colLast="0"/>
      <w:bookmarkEnd w:id="15"/>
      <w:r>
        <w:rPr>
          <w:rFonts w:ascii="Times" w:eastAsia="Times" w:hAnsi="Times" w:cs="Times"/>
          <w:b/>
          <w:color w:val="000000"/>
        </w:rPr>
        <w:lastRenderedPageBreak/>
        <w:t>Declarations</w:t>
      </w:r>
    </w:p>
    <w:p w14:paraId="345A6A87" w14:textId="77777777" w:rsidR="002D3616" w:rsidRDefault="003470FA">
      <w:pPr>
        <w:rPr>
          <w:rFonts w:ascii="Times" w:eastAsia="Times" w:hAnsi="Times" w:cs="Times"/>
          <w:b/>
          <w:color w:val="000000"/>
        </w:rPr>
      </w:pPr>
      <w:r>
        <w:rPr>
          <w:rFonts w:ascii="Times" w:eastAsia="Times" w:hAnsi="Times" w:cs="Times"/>
          <w:b/>
          <w:color w:val="000000"/>
        </w:rPr>
        <w:t xml:space="preserve">List of abbreviations </w:t>
      </w:r>
    </w:p>
    <w:p w14:paraId="0BB5801B" w14:textId="77777777" w:rsidR="002D3616" w:rsidRDefault="002D3616">
      <w:pPr>
        <w:rPr>
          <w:rFonts w:ascii="Times" w:eastAsia="Times" w:hAnsi="Times" w:cs="Times"/>
          <w:b/>
          <w:color w:val="000000"/>
        </w:rPr>
      </w:pPr>
    </w:p>
    <w:p w14:paraId="4D005517"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CITL – Calibration-in-the large</w:t>
      </w:r>
    </w:p>
    <w:p w14:paraId="20CD1F8F"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c-statistic - Concordance statistic </w:t>
      </w:r>
    </w:p>
    <w:p w14:paraId="7840805F"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INSPIRE- Interventional Study Evaluating the Short-Term Prediction of Preeclampsia/ </w:t>
      </w:r>
    </w:p>
    <w:p w14:paraId="5D89AB08" w14:textId="77777777" w:rsidR="002D3616" w:rsidRDefault="003470FA">
      <w:pPr>
        <w:spacing w:line="480" w:lineRule="auto"/>
        <w:jc w:val="both"/>
        <w:rPr>
          <w:rFonts w:ascii="Times" w:eastAsia="Times" w:hAnsi="Times" w:cs="Times"/>
          <w:color w:val="000000"/>
        </w:rPr>
      </w:pPr>
      <w:r>
        <w:rPr>
          <w:rFonts w:ascii="Times" w:eastAsia="Times" w:hAnsi="Times" w:cs="Times"/>
          <w:color w:val="000000"/>
          <w:highlight w:val="white"/>
        </w:rPr>
        <w:t>IQR – Interquartile range</w:t>
      </w:r>
    </w:p>
    <w:p w14:paraId="057328C1"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PE - Preeclampsia</w:t>
      </w:r>
    </w:p>
    <w:p w14:paraId="2DEF153C"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PIGF - Placental growth factor </w:t>
      </w:r>
    </w:p>
    <w:p w14:paraId="480E5D36" w14:textId="77777777" w:rsidR="002D3616" w:rsidRDefault="003470FA">
      <w:pPr>
        <w:spacing w:line="480" w:lineRule="auto"/>
        <w:jc w:val="both"/>
        <w:rPr>
          <w:rFonts w:ascii="Times" w:eastAsia="Times" w:hAnsi="Times" w:cs="Times"/>
          <w:color w:val="000000"/>
          <w:highlight w:val="white"/>
        </w:rPr>
      </w:pPr>
      <w:r>
        <w:rPr>
          <w:rFonts w:ascii="Times" w:eastAsia="Times" w:hAnsi="Times" w:cs="Times"/>
          <w:color w:val="000000"/>
          <w:highlight w:val="white"/>
        </w:rPr>
        <w:t>RMSE –Root mean square error</w:t>
      </w:r>
    </w:p>
    <w:p w14:paraId="6A1AC638" w14:textId="77777777" w:rsidR="002D3616" w:rsidRDefault="003470FA">
      <w:pPr>
        <w:spacing w:line="480" w:lineRule="auto"/>
        <w:jc w:val="both"/>
        <w:rPr>
          <w:rFonts w:ascii="Times" w:eastAsia="Times" w:hAnsi="Times" w:cs="Times"/>
          <w:color w:val="000000"/>
          <w:highlight w:val="white"/>
        </w:rPr>
      </w:pPr>
      <w:r>
        <w:rPr>
          <w:rFonts w:ascii="Times" w:eastAsia="Times" w:hAnsi="Times" w:cs="Times"/>
          <w:color w:val="000000"/>
          <w:highlight w:val="white"/>
        </w:rPr>
        <w:t>SD – Standard deviation</w:t>
      </w:r>
    </w:p>
    <w:p w14:paraId="203337E0"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sFlt-1 - Soluble </w:t>
      </w:r>
      <w:proofErr w:type="spellStart"/>
      <w:r>
        <w:rPr>
          <w:rFonts w:ascii="Times" w:eastAsia="Times" w:hAnsi="Times" w:cs="Times"/>
          <w:color w:val="000000"/>
        </w:rPr>
        <w:t>fms</w:t>
      </w:r>
      <w:proofErr w:type="spellEnd"/>
      <w:r>
        <w:rPr>
          <w:rFonts w:ascii="Times" w:eastAsia="Times" w:hAnsi="Times" w:cs="Times"/>
          <w:color w:val="000000"/>
        </w:rPr>
        <w:t xml:space="preserve">-like tyrosine kinase - 1  </w:t>
      </w:r>
    </w:p>
    <w:p w14:paraId="67F34492"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TRIPOD - Transparent Reporting of a multivariable prediction model for Individual </w:t>
      </w:r>
    </w:p>
    <w:p w14:paraId="7A9A77B7" w14:textId="77777777" w:rsidR="002D3616" w:rsidRDefault="002D3616">
      <w:pPr>
        <w:spacing w:line="480" w:lineRule="auto"/>
        <w:jc w:val="both"/>
        <w:rPr>
          <w:rFonts w:ascii="Times" w:eastAsia="Times" w:hAnsi="Times" w:cs="Times"/>
          <w:color w:val="000000"/>
        </w:rPr>
      </w:pPr>
    </w:p>
    <w:p w14:paraId="12EFB027" w14:textId="77777777" w:rsidR="002D3616" w:rsidRDefault="003470FA">
      <w:pPr>
        <w:spacing w:before="240" w:after="240" w:line="480" w:lineRule="auto"/>
        <w:jc w:val="both"/>
        <w:rPr>
          <w:rFonts w:ascii="Times" w:eastAsia="Times" w:hAnsi="Times" w:cs="Times"/>
          <w:b/>
          <w:color w:val="000000"/>
        </w:rPr>
      </w:pPr>
      <w:r>
        <w:rPr>
          <w:rFonts w:ascii="Times" w:eastAsia="Times" w:hAnsi="Times" w:cs="Times"/>
          <w:b/>
          <w:color w:val="000000"/>
        </w:rPr>
        <w:t>Ethics approval and consent to participate</w:t>
      </w:r>
    </w:p>
    <w:p w14:paraId="104587A3" w14:textId="77777777" w:rsidR="002D3616" w:rsidRDefault="003470FA">
      <w:pPr>
        <w:spacing w:before="240" w:after="240" w:line="480" w:lineRule="auto"/>
        <w:jc w:val="both"/>
        <w:rPr>
          <w:rFonts w:ascii="Times" w:eastAsia="Times" w:hAnsi="Times" w:cs="Times"/>
          <w:color w:val="000000"/>
          <w:highlight w:val="white"/>
        </w:rPr>
      </w:pPr>
      <w:r>
        <w:rPr>
          <w:rFonts w:ascii="Times" w:eastAsia="Times" w:hAnsi="Times" w:cs="Times"/>
          <w:color w:val="000000"/>
        </w:rPr>
        <w:t>Ethical approval of the secondary data analysis of the INSPIRE clinical trial was secured from the Centre</w:t>
      </w:r>
      <w:r>
        <w:rPr>
          <w:rFonts w:ascii="Times" w:eastAsia="Times" w:hAnsi="Times" w:cs="Times"/>
          <w:color w:val="000000"/>
          <w:highlight w:val="white"/>
        </w:rPr>
        <w:t xml:space="preserve"> for Tropical Medicine and Global Health, Nuffield Department of Clinical Medicine, University of Oxford, Oxford, UK. The original clinical trial </w:t>
      </w:r>
      <w:r>
        <w:rPr>
          <w:rFonts w:ascii="Times" w:eastAsia="Times" w:hAnsi="Times" w:cs="Times"/>
          <w:color w:val="000000"/>
        </w:rPr>
        <w:t xml:space="preserve">was performed in accordance with the Declaration of Helsinki and is </w:t>
      </w:r>
      <w:r>
        <w:rPr>
          <w:rFonts w:ascii="Times" w:eastAsia="Times" w:hAnsi="Times" w:cs="Times"/>
          <w:color w:val="000000"/>
          <w:highlight w:val="white"/>
        </w:rPr>
        <w:t>registered at -</w:t>
      </w:r>
      <w:hyperlink r:id="rId14">
        <w:r>
          <w:rPr>
            <w:rFonts w:ascii="Times" w:eastAsia="Times" w:hAnsi="Times" w:cs="Times"/>
            <w:color w:val="000000"/>
            <w:highlight w:val="white"/>
          </w:rPr>
          <w:t xml:space="preserve"> </w:t>
        </w:r>
      </w:hyperlink>
      <w:hyperlink r:id="rId15">
        <w:r>
          <w:rPr>
            <w:rFonts w:ascii="Times" w:eastAsia="Times" w:hAnsi="Times" w:cs="Times"/>
            <w:color w:val="000000"/>
            <w:highlight w:val="white"/>
            <w:u w:val="single"/>
          </w:rPr>
          <w:t>http://www.isrctn.com</w:t>
        </w:r>
      </w:hyperlink>
      <w:r>
        <w:rPr>
          <w:rFonts w:ascii="Times" w:eastAsia="Times" w:hAnsi="Times" w:cs="Times"/>
          <w:color w:val="000000"/>
          <w:highlight w:val="white"/>
        </w:rPr>
        <w:t>. Unique identifier: ISRCTN87470468. Informed consent was secured from all study participants by filing a written consent form after being briefed about the study information and consented to participate in the study.</w:t>
      </w:r>
    </w:p>
    <w:p w14:paraId="567125EC" w14:textId="77777777" w:rsidR="002D3616" w:rsidRDefault="003470FA">
      <w:pPr>
        <w:spacing w:before="240" w:after="240" w:line="480" w:lineRule="auto"/>
        <w:jc w:val="both"/>
        <w:rPr>
          <w:rFonts w:ascii="Times" w:eastAsia="Times" w:hAnsi="Times" w:cs="Times"/>
          <w:b/>
          <w:color w:val="000000"/>
        </w:rPr>
      </w:pPr>
      <w:r>
        <w:rPr>
          <w:rFonts w:ascii="Times" w:eastAsia="Times" w:hAnsi="Times" w:cs="Times"/>
          <w:b/>
          <w:color w:val="000000"/>
        </w:rPr>
        <w:t>Consent for publication</w:t>
      </w:r>
    </w:p>
    <w:p w14:paraId="4DC8A0EE" w14:textId="77777777" w:rsidR="002D3616" w:rsidRDefault="003470FA">
      <w:pPr>
        <w:spacing w:before="240" w:after="240" w:line="480" w:lineRule="auto"/>
        <w:jc w:val="both"/>
        <w:rPr>
          <w:rFonts w:ascii="Times" w:eastAsia="Times" w:hAnsi="Times" w:cs="Times"/>
          <w:color w:val="000000"/>
        </w:rPr>
      </w:pPr>
      <w:r>
        <w:rPr>
          <w:rFonts w:ascii="Times" w:eastAsia="Times" w:hAnsi="Times" w:cs="Times"/>
          <w:color w:val="000000"/>
        </w:rPr>
        <w:t>Not applicable (NA)</w:t>
      </w:r>
    </w:p>
    <w:p w14:paraId="24D2AE44" w14:textId="77777777" w:rsidR="002D3616" w:rsidRDefault="003470FA">
      <w:pPr>
        <w:spacing w:before="240" w:after="240" w:line="480" w:lineRule="auto"/>
        <w:jc w:val="both"/>
        <w:rPr>
          <w:rFonts w:ascii="Times" w:eastAsia="Times" w:hAnsi="Times" w:cs="Times"/>
          <w:b/>
          <w:color w:val="000000"/>
        </w:rPr>
      </w:pPr>
      <w:r>
        <w:rPr>
          <w:rFonts w:ascii="Times" w:eastAsia="Times" w:hAnsi="Times" w:cs="Times"/>
          <w:b/>
          <w:color w:val="000000"/>
        </w:rPr>
        <w:lastRenderedPageBreak/>
        <w:t>Availability of data and materials</w:t>
      </w:r>
    </w:p>
    <w:p w14:paraId="41743E72" w14:textId="77777777" w:rsidR="002D3616" w:rsidRDefault="003470FA">
      <w:pPr>
        <w:spacing w:before="240" w:after="240" w:line="480" w:lineRule="auto"/>
        <w:jc w:val="both"/>
        <w:rPr>
          <w:rFonts w:ascii="Times" w:eastAsia="Times" w:hAnsi="Times" w:cs="Times"/>
          <w:color w:val="000000"/>
        </w:rPr>
      </w:pPr>
      <w:r>
        <w:rPr>
          <w:rFonts w:ascii="Times" w:eastAsia="Times" w:hAnsi="Times" w:cs="Times"/>
          <w:color w:val="000000"/>
        </w:rPr>
        <w:t>The datasets used and analysed during the current study are not publicly available due to data privacy for identifiable patient information and ethical concerns but are available from the corresponding author on reasonable request.</w:t>
      </w:r>
    </w:p>
    <w:p w14:paraId="238C69CB" w14:textId="77777777" w:rsidR="002D3616" w:rsidRDefault="002D3616">
      <w:pPr>
        <w:spacing w:line="480" w:lineRule="auto"/>
        <w:jc w:val="both"/>
        <w:rPr>
          <w:rFonts w:ascii="Times" w:eastAsia="Times" w:hAnsi="Times" w:cs="Times"/>
          <w:b/>
          <w:color w:val="000000"/>
        </w:rPr>
      </w:pPr>
    </w:p>
    <w:p w14:paraId="5CC34412" w14:textId="77777777" w:rsidR="002D3616" w:rsidRDefault="003470FA">
      <w:pPr>
        <w:spacing w:line="480" w:lineRule="auto"/>
        <w:jc w:val="both"/>
        <w:rPr>
          <w:rFonts w:ascii="Times" w:eastAsia="Times" w:hAnsi="Times" w:cs="Times"/>
          <w:b/>
          <w:color w:val="000000"/>
        </w:rPr>
      </w:pPr>
      <w:r>
        <w:rPr>
          <w:rFonts w:ascii="Times" w:eastAsia="Times" w:hAnsi="Times" w:cs="Times"/>
          <w:b/>
          <w:color w:val="000000"/>
        </w:rPr>
        <w:t>Competing interests</w:t>
      </w:r>
    </w:p>
    <w:p w14:paraId="4A1750A3"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The authors declare that they have no competing interests.</w:t>
      </w:r>
    </w:p>
    <w:p w14:paraId="7B7D5ED8" w14:textId="77777777" w:rsidR="002D3616" w:rsidRDefault="002D3616">
      <w:pPr>
        <w:spacing w:line="480" w:lineRule="auto"/>
        <w:jc w:val="both"/>
        <w:rPr>
          <w:rFonts w:ascii="Times" w:eastAsia="Times" w:hAnsi="Times" w:cs="Times"/>
          <w:color w:val="000000"/>
        </w:rPr>
      </w:pPr>
    </w:p>
    <w:p w14:paraId="13AC7850" w14:textId="77777777" w:rsidR="002D3616" w:rsidRDefault="003470FA">
      <w:pPr>
        <w:keepNext/>
        <w:keepLines/>
        <w:pBdr>
          <w:top w:val="none" w:sz="0" w:space="0" w:color="000000"/>
          <w:left w:val="none" w:sz="0" w:space="0" w:color="000000"/>
          <w:bottom w:val="none" w:sz="0" w:space="0" w:color="000000"/>
          <w:right w:val="none" w:sz="0" w:space="0" w:color="000000"/>
          <w:between w:val="none" w:sz="0" w:space="0" w:color="000000"/>
        </w:pBdr>
        <w:spacing w:line="480" w:lineRule="auto"/>
        <w:ind w:left="360" w:hanging="360"/>
        <w:jc w:val="both"/>
        <w:rPr>
          <w:rFonts w:ascii="Times" w:eastAsia="Times" w:hAnsi="Times" w:cs="Times"/>
          <w:color w:val="000000"/>
        </w:rPr>
      </w:pPr>
      <w:r>
        <w:rPr>
          <w:rFonts w:ascii="Times" w:eastAsia="Times" w:hAnsi="Times" w:cs="Times"/>
          <w:b/>
          <w:color w:val="000000"/>
        </w:rPr>
        <w:t>Funding:</w:t>
      </w:r>
      <w:r>
        <w:rPr>
          <w:rFonts w:ascii="Times" w:eastAsia="Times" w:hAnsi="Times" w:cs="Times"/>
          <w:color w:val="000000"/>
        </w:rPr>
        <w:t xml:space="preserve"> No funding was received for this work.</w:t>
      </w:r>
    </w:p>
    <w:p w14:paraId="5A9041A5" w14:textId="77777777" w:rsidR="002D3616" w:rsidRDefault="002D3616">
      <w:pPr>
        <w:keepNext/>
        <w:keepLines/>
        <w:pBdr>
          <w:top w:val="none" w:sz="0" w:space="0" w:color="000000"/>
          <w:left w:val="none" w:sz="0" w:space="0" w:color="000000"/>
          <w:bottom w:val="none" w:sz="0" w:space="0" w:color="000000"/>
          <w:right w:val="none" w:sz="0" w:space="0" w:color="000000"/>
          <w:between w:val="none" w:sz="0" w:space="0" w:color="000000"/>
        </w:pBdr>
        <w:spacing w:line="480" w:lineRule="auto"/>
        <w:ind w:left="360" w:hanging="360"/>
        <w:jc w:val="both"/>
        <w:rPr>
          <w:rFonts w:ascii="Times" w:eastAsia="Times" w:hAnsi="Times" w:cs="Times"/>
          <w:b/>
          <w:color w:val="000000"/>
        </w:rPr>
      </w:pPr>
    </w:p>
    <w:p w14:paraId="6B3333B3" w14:textId="77777777" w:rsidR="002D3616" w:rsidRDefault="003470FA">
      <w:pPr>
        <w:keepNext/>
        <w:keepLines/>
        <w:pBdr>
          <w:top w:val="none" w:sz="0" w:space="0" w:color="000000"/>
          <w:left w:val="none" w:sz="0" w:space="0" w:color="000000"/>
          <w:bottom w:val="none" w:sz="0" w:space="0" w:color="000000"/>
          <w:right w:val="none" w:sz="0" w:space="0" w:color="000000"/>
          <w:between w:val="none" w:sz="0" w:space="0" w:color="000000"/>
        </w:pBdr>
        <w:spacing w:line="480" w:lineRule="auto"/>
        <w:jc w:val="both"/>
        <w:rPr>
          <w:rFonts w:ascii="Times" w:eastAsia="Times" w:hAnsi="Times" w:cs="Times"/>
          <w:b/>
          <w:color w:val="000000"/>
        </w:rPr>
      </w:pPr>
      <w:bookmarkStart w:id="16" w:name="_heading=h.44sinio" w:colFirst="0" w:colLast="0"/>
      <w:bookmarkEnd w:id="16"/>
      <w:r>
        <w:rPr>
          <w:rFonts w:ascii="Times" w:eastAsia="Times" w:hAnsi="Times" w:cs="Times"/>
          <w:b/>
          <w:color w:val="000000"/>
        </w:rPr>
        <w:t xml:space="preserve">Authors’ contributions: </w:t>
      </w:r>
    </w:p>
    <w:p w14:paraId="26535549"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Conceptualization</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MMK, PD, EOO</w:t>
      </w:r>
    </w:p>
    <w:p w14:paraId="65FBA3B7"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Data Curation</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MMK, EOO</w:t>
      </w:r>
    </w:p>
    <w:p w14:paraId="01C4874A"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Formal Analysis</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MMK, PD, EOO</w:t>
      </w:r>
    </w:p>
    <w:p w14:paraId="6B86D342"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Funding Acquisition</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MV, SC</w:t>
      </w:r>
    </w:p>
    <w:p w14:paraId="2E637FB8"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Investigation</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MMK, PD, MV, SC, EOO</w:t>
      </w:r>
    </w:p>
    <w:p w14:paraId="3A278040"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Methodology</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MMK, PD, EOO</w:t>
      </w:r>
    </w:p>
    <w:p w14:paraId="186FD8E4"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Project Administration</w:t>
      </w:r>
      <w:r>
        <w:rPr>
          <w:rFonts w:ascii="Times" w:eastAsia="Times" w:hAnsi="Times" w:cs="Times"/>
          <w:color w:val="000000"/>
        </w:rPr>
        <w:tab/>
      </w:r>
      <w:r>
        <w:rPr>
          <w:rFonts w:ascii="Times" w:eastAsia="Times" w:hAnsi="Times" w:cs="Times"/>
          <w:color w:val="000000"/>
        </w:rPr>
        <w:tab/>
        <w:t>: EOO</w:t>
      </w:r>
    </w:p>
    <w:p w14:paraId="15E05ACD"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Resources</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MV, SC, EOO</w:t>
      </w:r>
    </w:p>
    <w:p w14:paraId="5B08383F"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Software</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MMK, PD, EOO</w:t>
      </w:r>
    </w:p>
    <w:p w14:paraId="6562B78E"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Supervision</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PD, EOO</w:t>
      </w:r>
      <w:r>
        <w:rPr>
          <w:rFonts w:ascii="Times" w:eastAsia="Times" w:hAnsi="Times" w:cs="Times"/>
          <w:color w:val="000000"/>
        </w:rPr>
        <w:tab/>
      </w:r>
    </w:p>
    <w:p w14:paraId="1728A74B"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Validation</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MMK, PD, EOO</w:t>
      </w:r>
    </w:p>
    <w:p w14:paraId="0DA6A085"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Visualization</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MMK, PD, EOO</w:t>
      </w:r>
      <w:r>
        <w:rPr>
          <w:rFonts w:ascii="Times" w:eastAsia="Times" w:hAnsi="Times" w:cs="Times"/>
          <w:color w:val="000000"/>
        </w:rPr>
        <w:tab/>
      </w:r>
    </w:p>
    <w:p w14:paraId="4C68D19A"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Writing – Original Draft Preparation</w:t>
      </w:r>
      <w:r>
        <w:rPr>
          <w:rFonts w:ascii="Times" w:eastAsia="Times" w:hAnsi="Times" w:cs="Times"/>
          <w:color w:val="000000"/>
        </w:rPr>
        <w:tab/>
        <w:t>: MMK, PD, EOO</w:t>
      </w:r>
    </w:p>
    <w:p w14:paraId="6C3DDF21"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lastRenderedPageBreak/>
        <w:t>Writing – Review &amp; Editing</w:t>
      </w:r>
      <w:r>
        <w:rPr>
          <w:rFonts w:ascii="Times" w:eastAsia="Times" w:hAnsi="Times" w:cs="Times"/>
          <w:color w:val="000000"/>
        </w:rPr>
        <w:tab/>
      </w:r>
      <w:r>
        <w:rPr>
          <w:rFonts w:ascii="Times" w:eastAsia="Times" w:hAnsi="Times" w:cs="Times"/>
          <w:color w:val="000000"/>
        </w:rPr>
        <w:tab/>
        <w:t>: MMK, PD, MV, SC, EOO</w:t>
      </w:r>
    </w:p>
    <w:p w14:paraId="1CA5DB31" w14:textId="77777777" w:rsidR="002D3616" w:rsidRDefault="002D3616">
      <w:pPr>
        <w:spacing w:line="480" w:lineRule="auto"/>
        <w:jc w:val="both"/>
        <w:rPr>
          <w:rFonts w:ascii="Times" w:eastAsia="Times" w:hAnsi="Times" w:cs="Times"/>
          <w:color w:val="000000"/>
        </w:rPr>
      </w:pPr>
    </w:p>
    <w:p w14:paraId="21D6B75A" w14:textId="32347463" w:rsidR="002D3616" w:rsidRDefault="00000FB1">
      <w:pPr>
        <w:spacing w:line="480" w:lineRule="auto"/>
        <w:jc w:val="both"/>
        <w:rPr>
          <w:rFonts w:ascii="Times" w:eastAsia="Times" w:hAnsi="Times" w:cs="Times"/>
          <w:b/>
          <w:color w:val="000000"/>
        </w:rPr>
      </w:pPr>
      <w:r>
        <w:rPr>
          <w:rFonts w:ascii="Times" w:eastAsia="Times" w:hAnsi="Times" w:cs="Times"/>
          <w:b/>
          <w:color w:val="000000"/>
        </w:rPr>
        <w:t>Acknowledgements</w:t>
      </w:r>
    </w:p>
    <w:p w14:paraId="4544B549" w14:textId="77777777" w:rsidR="002D3616" w:rsidRDefault="003470FA">
      <w:pPr>
        <w:spacing w:line="480" w:lineRule="auto"/>
        <w:jc w:val="both"/>
        <w:rPr>
          <w:rFonts w:ascii="Times" w:eastAsia="Times" w:hAnsi="Times" w:cs="Times"/>
          <w:color w:val="000000"/>
        </w:rPr>
      </w:pPr>
      <w:r>
        <w:rPr>
          <w:rFonts w:ascii="Times" w:eastAsia="Times" w:hAnsi="Times" w:cs="Times"/>
          <w:color w:val="000000"/>
        </w:rPr>
        <w:t xml:space="preserve">We thank all the women who participated in the INSPIRE trial. </w:t>
      </w:r>
    </w:p>
    <w:p w14:paraId="77EB9732" w14:textId="77777777" w:rsidR="002D3616" w:rsidRDefault="002D3616">
      <w:pPr>
        <w:spacing w:line="480" w:lineRule="auto"/>
        <w:jc w:val="both"/>
        <w:rPr>
          <w:rFonts w:ascii="Times" w:eastAsia="Times" w:hAnsi="Times" w:cs="Times"/>
          <w:color w:val="000000"/>
        </w:rPr>
      </w:pPr>
    </w:p>
    <w:p w14:paraId="241445AA" w14:textId="77777777" w:rsidR="002D3616" w:rsidRDefault="003470FA">
      <w:pPr>
        <w:spacing w:line="480" w:lineRule="auto"/>
        <w:jc w:val="both"/>
        <w:rPr>
          <w:rFonts w:ascii="Times" w:eastAsia="Times" w:hAnsi="Times" w:cs="Times"/>
          <w:b/>
          <w:color w:val="000000"/>
        </w:rPr>
      </w:pPr>
      <w:bookmarkStart w:id="17" w:name="_heading=h.2jxsxqh" w:colFirst="0" w:colLast="0"/>
      <w:bookmarkEnd w:id="17"/>
      <w:r>
        <w:br w:type="page"/>
      </w:r>
    </w:p>
    <w:p w14:paraId="38C13ED5" w14:textId="77777777" w:rsidR="002D3616" w:rsidRDefault="003470FA">
      <w:pPr>
        <w:pBdr>
          <w:top w:val="nil"/>
          <w:left w:val="nil"/>
          <w:bottom w:val="nil"/>
          <w:right w:val="nil"/>
          <w:between w:val="nil"/>
        </w:pBdr>
        <w:shd w:val="clear" w:color="auto" w:fill="FFFFFF"/>
        <w:spacing w:before="240" w:line="480" w:lineRule="auto"/>
        <w:ind w:left="360" w:hanging="360"/>
        <w:jc w:val="both"/>
        <w:rPr>
          <w:rFonts w:ascii="Times" w:eastAsia="Times" w:hAnsi="Times" w:cs="Times"/>
          <w:b/>
          <w:color w:val="000000"/>
        </w:rPr>
      </w:pPr>
      <w:r>
        <w:rPr>
          <w:rFonts w:ascii="Times" w:eastAsia="Times" w:hAnsi="Times" w:cs="Times"/>
          <w:b/>
          <w:color w:val="000000"/>
        </w:rPr>
        <w:lastRenderedPageBreak/>
        <w:t xml:space="preserve">References </w:t>
      </w:r>
    </w:p>
    <w:p w14:paraId="6894546F"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1. </w:t>
      </w:r>
      <w:r>
        <w:rPr>
          <w:rFonts w:ascii="Times" w:eastAsia="Times" w:hAnsi="Times" w:cs="Times"/>
          <w:color w:val="000000"/>
        </w:rPr>
        <w:tab/>
        <w:t xml:space="preserve">Brown MA, </w:t>
      </w:r>
      <w:proofErr w:type="spellStart"/>
      <w:r>
        <w:rPr>
          <w:rFonts w:ascii="Times" w:eastAsia="Times" w:hAnsi="Times" w:cs="Times"/>
          <w:color w:val="000000"/>
        </w:rPr>
        <w:t>Lindheimer</w:t>
      </w:r>
      <w:proofErr w:type="spellEnd"/>
      <w:r>
        <w:rPr>
          <w:rFonts w:ascii="Times" w:eastAsia="Times" w:hAnsi="Times" w:cs="Times"/>
          <w:color w:val="000000"/>
        </w:rPr>
        <w:t xml:space="preserve"> MD, De </w:t>
      </w:r>
      <w:proofErr w:type="spellStart"/>
      <w:r>
        <w:rPr>
          <w:rFonts w:ascii="Times" w:eastAsia="Times" w:hAnsi="Times" w:cs="Times"/>
          <w:color w:val="000000"/>
        </w:rPr>
        <w:t>Swiet</w:t>
      </w:r>
      <w:proofErr w:type="spellEnd"/>
      <w:r>
        <w:rPr>
          <w:rFonts w:ascii="Times" w:eastAsia="Times" w:hAnsi="Times" w:cs="Times"/>
          <w:color w:val="000000"/>
        </w:rPr>
        <w:t xml:space="preserve"> M, Van </w:t>
      </w:r>
      <w:proofErr w:type="spellStart"/>
      <w:r>
        <w:rPr>
          <w:rFonts w:ascii="Times" w:eastAsia="Times" w:hAnsi="Times" w:cs="Times"/>
          <w:color w:val="000000"/>
        </w:rPr>
        <w:t>Assche</w:t>
      </w:r>
      <w:proofErr w:type="spellEnd"/>
      <w:r>
        <w:rPr>
          <w:rFonts w:ascii="Times" w:eastAsia="Times" w:hAnsi="Times" w:cs="Times"/>
          <w:color w:val="000000"/>
        </w:rPr>
        <w:t xml:space="preserve"> A, </w:t>
      </w:r>
      <w:proofErr w:type="spellStart"/>
      <w:r>
        <w:rPr>
          <w:rFonts w:ascii="Times" w:eastAsia="Times" w:hAnsi="Times" w:cs="Times"/>
          <w:color w:val="000000"/>
        </w:rPr>
        <w:t>Moutquin</w:t>
      </w:r>
      <w:proofErr w:type="spellEnd"/>
      <w:r>
        <w:rPr>
          <w:rFonts w:ascii="Times" w:eastAsia="Times" w:hAnsi="Times" w:cs="Times"/>
          <w:color w:val="000000"/>
        </w:rPr>
        <w:t xml:space="preserve"> JM. The classification and diagnosis of the hypertensive disorders of pregnancy: Statement from the International Society for the Study of Hypertension in Pregnancy (ISSHP). </w:t>
      </w:r>
      <w:proofErr w:type="spellStart"/>
      <w:r>
        <w:rPr>
          <w:rFonts w:ascii="Times" w:eastAsia="Times" w:hAnsi="Times" w:cs="Times"/>
          <w:i/>
          <w:color w:val="000000"/>
        </w:rPr>
        <w:t>Hypertens</w:t>
      </w:r>
      <w:proofErr w:type="spellEnd"/>
      <w:r>
        <w:rPr>
          <w:rFonts w:ascii="Times" w:eastAsia="Times" w:hAnsi="Times" w:cs="Times"/>
          <w:i/>
          <w:color w:val="000000"/>
        </w:rPr>
        <w:t xml:space="preserve"> Pregnancy</w:t>
      </w:r>
      <w:r>
        <w:rPr>
          <w:rFonts w:ascii="Times" w:eastAsia="Times" w:hAnsi="Times" w:cs="Times"/>
          <w:color w:val="000000"/>
        </w:rPr>
        <w:t>. 2001. doi:10.1081/PRG-100104165</w:t>
      </w:r>
    </w:p>
    <w:p w14:paraId="1D78051C"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2. </w:t>
      </w:r>
      <w:r>
        <w:rPr>
          <w:rFonts w:ascii="Times" w:eastAsia="Times" w:hAnsi="Times" w:cs="Times"/>
          <w:color w:val="000000"/>
        </w:rPr>
        <w:tab/>
      </w:r>
      <w:proofErr w:type="spellStart"/>
      <w:r>
        <w:rPr>
          <w:rFonts w:ascii="Times" w:eastAsia="Times" w:hAnsi="Times" w:cs="Times"/>
          <w:color w:val="000000"/>
        </w:rPr>
        <w:t>Abalos</w:t>
      </w:r>
      <w:proofErr w:type="spellEnd"/>
      <w:r>
        <w:rPr>
          <w:rFonts w:ascii="Times" w:eastAsia="Times" w:hAnsi="Times" w:cs="Times"/>
          <w:color w:val="000000"/>
        </w:rPr>
        <w:t xml:space="preserve"> E, Cuesta C, Grosso AL, Chou D, Say L. Global and regional estimates of preeclampsia and eclampsia: A systematic review. </w:t>
      </w:r>
      <w:proofErr w:type="spellStart"/>
      <w:r>
        <w:rPr>
          <w:rFonts w:ascii="Times" w:eastAsia="Times" w:hAnsi="Times" w:cs="Times"/>
          <w:i/>
          <w:color w:val="000000"/>
        </w:rPr>
        <w:t>Eur</w:t>
      </w:r>
      <w:proofErr w:type="spellEnd"/>
      <w:r>
        <w:rPr>
          <w:rFonts w:ascii="Times" w:eastAsia="Times" w:hAnsi="Times" w:cs="Times"/>
          <w:i/>
          <w:color w:val="000000"/>
        </w:rPr>
        <w:t xml:space="preserve"> J </w:t>
      </w:r>
      <w:proofErr w:type="spellStart"/>
      <w:r>
        <w:rPr>
          <w:rFonts w:ascii="Times" w:eastAsia="Times" w:hAnsi="Times" w:cs="Times"/>
          <w:i/>
          <w:color w:val="000000"/>
        </w:rPr>
        <w:t>Obstet</w:t>
      </w:r>
      <w:proofErr w:type="spellEnd"/>
      <w:r>
        <w:rPr>
          <w:rFonts w:ascii="Times" w:eastAsia="Times" w:hAnsi="Times" w:cs="Times"/>
          <w:i/>
          <w:color w:val="000000"/>
        </w:rPr>
        <w:t xml:space="preserve"> </w:t>
      </w:r>
      <w:proofErr w:type="spellStart"/>
      <w:r>
        <w:rPr>
          <w:rFonts w:ascii="Times" w:eastAsia="Times" w:hAnsi="Times" w:cs="Times"/>
          <w:i/>
          <w:color w:val="000000"/>
        </w:rPr>
        <w:t>Gynecol</w:t>
      </w:r>
      <w:proofErr w:type="spellEnd"/>
      <w:r>
        <w:rPr>
          <w:rFonts w:ascii="Times" w:eastAsia="Times" w:hAnsi="Times" w:cs="Times"/>
          <w:i/>
          <w:color w:val="000000"/>
        </w:rPr>
        <w:t xml:space="preserve"> </w:t>
      </w:r>
      <w:proofErr w:type="spellStart"/>
      <w:r>
        <w:rPr>
          <w:rFonts w:ascii="Times" w:eastAsia="Times" w:hAnsi="Times" w:cs="Times"/>
          <w:i/>
          <w:color w:val="000000"/>
        </w:rPr>
        <w:t>Reprod</w:t>
      </w:r>
      <w:proofErr w:type="spellEnd"/>
      <w:r>
        <w:rPr>
          <w:rFonts w:ascii="Times" w:eastAsia="Times" w:hAnsi="Times" w:cs="Times"/>
          <w:i/>
          <w:color w:val="000000"/>
        </w:rPr>
        <w:t xml:space="preserve"> Biol</w:t>
      </w:r>
      <w:r>
        <w:rPr>
          <w:rFonts w:ascii="Times" w:eastAsia="Times" w:hAnsi="Times" w:cs="Times"/>
          <w:color w:val="000000"/>
        </w:rPr>
        <w:t>. 2013;170(1):1-7. doi:10.1016/j.ejogrb.2013.05.005</w:t>
      </w:r>
    </w:p>
    <w:p w14:paraId="2068D465"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3. </w:t>
      </w:r>
      <w:r>
        <w:rPr>
          <w:rFonts w:ascii="Times" w:eastAsia="Times" w:hAnsi="Times" w:cs="Times"/>
          <w:color w:val="000000"/>
        </w:rPr>
        <w:tab/>
        <w:t xml:space="preserve">Hulbert D. Saving mothers’ lives. </w:t>
      </w:r>
      <w:proofErr w:type="spellStart"/>
      <w:r>
        <w:rPr>
          <w:rFonts w:ascii="Times" w:eastAsia="Times" w:hAnsi="Times" w:cs="Times"/>
          <w:i/>
          <w:color w:val="000000"/>
        </w:rPr>
        <w:t>Emerg</w:t>
      </w:r>
      <w:proofErr w:type="spellEnd"/>
      <w:r>
        <w:rPr>
          <w:rFonts w:ascii="Times" w:eastAsia="Times" w:hAnsi="Times" w:cs="Times"/>
          <w:i/>
          <w:color w:val="000000"/>
        </w:rPr>
        <w:t xml:space="preserve"> Med J</w:t>
      </w:r>
      <w:r>
        <w:rPr>
          <w:rFonts w:ascii="Times" w:eastAsia="Times" w:hAnsi="Times" w:cs="Times"/>
          <w:color w:val="000000"/>
        </w:rPr>
        <w:t>. 2008;25(5 SUPPL.):4.</w:t>
      </w:r>
    </w:p>
    <w:p w14:paraId="70A8FCA2"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4. </w:t>
      </w:r>
      <w:r>
        <w:rPr>
          <w:rFonts w:ascii="Times" w:eastAsia="Times" w:hAnsi="Times" w:cs="Times"/>
          <w:color w:val="000000"/>
        </w:rPr>
        <w:tab/>
        <w:t xml:space="preserve">NICE. </w:t>
      </w:r>
      <w:proofErr w:type="spellStart"/>
      <w:r>
        <w:rPr>
          <w:rFonts w:ascii="Times" w:eastAsia="Times" w:hAnsi="Times" w:cs="Times"/>
          <w:color w:val="000000"/>
        </w:rPr>
        <w:t>PlGF</w:t>
      </w:r>
      <w:proofErr w:type="spellEnd"/>
      <w:r>
        <w:rPr>
          <w:rFonts w:ascii="Times" w:eastAsia="Times" w:hAnsi="Times" w:cs="Times"/>
          <w:color w:val="000000"/>
        </w:rPr>
        <w:t xml:space="preserve">-based testing to help diagnose suspected pre-eclampsia ( T ( Triage </w:t>
      </w:r>
      <w:proofErr w:type="spellStart"/>
      <w:r>
        <w:rPr>
          <w:rFonts w:ascii="Times" w:eastAsia="Times" w:hAnsi="Times" w:cs="Times"/>
          <w:color w:val="000000"/>
        </w:rPr>
        <w:t>riage</w:t>
      </w:r>
      <w:proofErr w:type="spellEnd"/>
      <w:r>
        <w:rPr>
          <w:rFonts w:ascii="Times" w:eastAsia="Times" w:hAnsi="Times" w:cs="Times"/>
          <w:color w:val="000000"/>
        </w:rPr>
        <w:t xml:space="preserve"> </w:t>
      </w:r>
      <w:proofErr w:type="spellStart"/>
      <w:r>
        <w:rPr>
          <w:rFonts w:ascii="Times" w:eastAsia="Times" w:hAnsi="Times" w:cs="Times"/>
          <w:color w:val="000000"/>
        </w:rPr>
        <w:t>PlGF</w:t>
      </w:r>
      <w:proofErr w:type="spellEnd"/>
      <w:r>
        <w:rPr>
          <w:rFonts w:ascii="Times" w:eastAsia="Times" w:hAnsi="Times" w:cs="Times"/>
          <w:color w:val="000000"/>
        </w:rPr>
        <w:t xml:space="preserve"> test , </w:t>
      </w:r>
      <w:proofErr w:type="spellStart"/>
      <w:r>
        <w:rPr>
          <w:rFonts w:ascii="Times" w:eastAsia="Times" w:hAnsi="Times" w:cs="Times"/>
          <w:color w:val="000000"/>
        </w:rPr>
        <w:t>Elecsys</w:t>
      </w:r>
      <w:proofErr w:type="spellEnd"/>
      <w:r>
        <w:rPr>
          <w:rFonts w:ascii="Times" w:eastAsia="Times" w:hAnsi="Times" w:cs="Times"/>
          <w:color w:val="000000"/>
        </w:rPr>
        <w:t xml:space="preserve"> </w:t>
      </w:r>
      <w:proofErr w:type="spellStart"/>
      <w:r>
        <w:rPr>
          <w:rFonts w:ascii="Times" w:eastAsia="Times" w:hAnsi="Times" w:cs="Times"/>
          <w:color w:val="000000"/>
        </w:rPr>
        <w:t>immunoassa</w:t>
      </w:r>
      <w:proofErr w:type="spellEnd"/>
      <w:r>
        <w:rPr>
          <w:rFonts w:ascii="Times" w:eastAsia="Times" w:hAnsi="Times" w:cs="Times"/>
          <w:color w:val="000000"/>
        </w:rPr>
        <w:t xml:space="preserve"> immunoassay y sFlt-1 / </w:t>
      </w:r>
      <w:proofErr w:type="spellStart"/>
      <w:r>
        <w:rPr>
          <w:rFonts w:ascii="Times" w:eastAsia="Times" w:hAnsi="Times" w:cs="Times"/>
          <w:color w:val="000000"/>
        </w:rPr>
        <w:t>PlGF</w:t>
      </w:r>
      <w:proofErr w:type="spellEnd"/>
      <w:r>
        <w:rPr>
          <w:rFonts w:ascii="Times" w:eastAsia="Times" w:hAnsi="Times" w:cs="Times"/>
          <w:color w:val="000000"/>
        </w:rPr>
        <w:t xml:space="preserve"> ratio , DELFIA Xpress </w:t>
      </w:r>
      <w:proofErr w:type="spellStart"/>
      <w:r>
        <w:rPr>
          <w:rFonts w:ascii="Times" w:eastAsia="Times" w:hAnsi="Times" w:cs="Times"/>
          <w:color w:val="000000"/>
        </w:rPr>
        <w:t>PlGF</w:t>
      </w:r>
      <w:proofErr w:type="spellEnd"/>
      <w:r>
        <w:rPr>
          <w:rFonts w:ascii="Times" w:eastAsia="Times" w:hAnsi="Times" w:cs="Times"/>
          <w:color w:val="000000"/>
        </w:rPr>
        <w:t xml:space="preserve"> 1-2-3 test , and BRAHMS sFlt-1 </w:t>
      </w:r>
      <w:proofErr w:type="spellStart"/>
      <w:r>
        <w:rPr>
          <w:rFonts w:ascii="Times" w:eastAsia="Times" w:hAnsi="Times" w:cs="Times"/>
          <w:color w:val="000000"/>
        </w:rPr>
        <w:t>Kryptor</w:t>
      </w:r>
      <w:proofErr w:type="spellEnd"/>
      <w:r>
        <w:rPr>
          <w:rFonts w:ascii="Times" w:eastAsia="Times" w:hAnsi="Times" w:cs="Times"/>
          <w:color w:val="000000"/>
        </w:rPr>
        <w:t xml:space="preserve"> / BRAHMS </w:t>
      </w:r>
      <w:proofErr w:type="spellStart"/>
      <w:r>
        <w:rPr>
          <w:rFonts w:ascii="Times" w:eastAsia="Times" w:hAnsi="Times" w:cs="Times"/>
          <w:color w:val="000000"/>
        </w:rPr>
        <w:t>PlGF</w:t>
      </w:r>
      <w:proofErr w:type="spellEnd"/>
      <w:r>
        <w:rPr>
          <w:rFonts w:ascii="Times" w:eastAsia="Times" w:hAnsi="Times" w:cs="Times"/>
          <w:color w:val="000000"/>
        </w:rPr>
        <w:t xml:space="preserve"> plus </w:t>
      </w:r>
      <w:proofErr w:type="spellStart"/>
      <w:r>
        <w:rPr>
          <w:rFonts w:ascii="Times" w:eastAsia="Times" w:hAnsi="Times" w:cs="Times"/>
          <w:color w:val="000000"/>
        </w:rPr>
        <w:t>Kryptor</w:t>
      </w:r>
      <w:proofErr w:type="spellEnd"/>
      <w:r>
        <w:rPr>
          <w:rFonts w:ascii="Times" w:eastAsia="Times" w:hAnsi="Times" w:cs="Times"/>
          <w:color w:val="000000"/>
        </w:rPr>
        <w:t xml:space="preserve"> PE r ratio </w:t>
      </w:r>
      <w:proofErr w:type="spellStart"/>
      <w:r>
        <w:rPr>
          <w:rFonts w:ascii="Times" w:eastAsia="Times" w:hAnsi="Times" w:cs="Times"/>
          <w:color w:val="000000"/>
        </w:rPr>
        <w:t>atio</w:t>
      </w:r>
      <w:proofErr w:type="spellEnd"/>
      <w:r>
        <w:rPr>
          <w:rFonts w:ascii="Times" w:eastAsia="Times" w:hAnsi="Times" w:cs="Times"/>
          <w:color w:val="000000"/>
        </w:rPr>
        <w:t xml:space="preserve"> ). </w:t>
      </w:r>
      <w:r>
        <w:rPr>
          <w:rFonts w:ascii="Times" w:eastAsia="Times" w:hAnsi="Times" w:cs="Times"/>
          <w:i/>
          <w:color w:val="000000"/>
        </w:rPr>
        <w:t>Nice</w:t>
      </w:r>
      <w:r>
        <w:rPr>
          <w:rFonts w:ascii="Times" w:eastAsia="Times" w:hAnsi="Times" w:cs="Times"/>
          <w:color w:val="000000"/>
        </w:rPr>
        <w:t>. 2016;(May):1-47.</w:t>
      </w:r>
    </w:p>
    <w:p w14:paraId="1DF0B9CE"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5. </w:t>
      </w:r>
      <w:r>
        <w:rPr>
          <w:rFonts w:ascii="Times" w:eastAsia="Times" w:hAnsi="Times" w:cs="Times"/>
          <w:color w:val="000000"/>
        </w:rPr>
        <w:tab/>
      </w:r>
      <w:proofErr w:type="spellStart"/>
      <w:r>
        <w:rPr>
          <w:rFonts w:ascii="Times" w:eastAsia="Times" w:hAnsi="Times" w:cs="Times"/>
          <w:color w:val="000000"/>
        </w:rPr>
        <w:t>Zeisler</w:t>
      </w:r>
      <w:proofErr w:type="spellEnd"/>
      <w:r>
        <w:rPr>
          <w:rFonts w:ascii="Times" w:eastAsia="Times" w:hAnsi="Times" w:cs="Times"/>
          <w:color w:val="000000"/>
        </w:rPr>
        <w:t xml:space="preserve"> H, </w:t>
      </w:r>
      <w:proofErr w:type="spellStart"/>
      <w:r>
        <w:rPr>
          <w:rFonts w:ascii="Times" w:eastAsia="Times" w:hAnsi="Times" w:cs="Times"/>
          <w:color w:val="000000"/>
        </w:rPr>
        <w:t>Llurba</w:t>
      </w:r>
      <w:proofErr w:type="spellEnd"/>
      <w:r>
        <w:rPr>
          <w:rFonts w:ascii="Times" w:eastAsia="Times" w:hAnsi="Times" w:cs="Times"/>
          <w:color w:val="000000"/>
        </w:rPr>
        <w:t xml:space="preserve"> E, </w:t>
      </w:r>
      <w:proofErr w:type="spellStart"/>
      <w:r>
        <w:rPr>
          <w:rFonts w:ascii="Times" w:eastAsia="Times" w:hAnsi="Times" w:cs="Times"/>
          <w:color w:val="000000"/>
        </w:rPr>
        <w:t>Chantraine</w:t>
      </w:r>
      <w:proofErr w:type="spellEnd"/>
      <w:r>
        <w:rPr>
          <w:rFonts w:ascii="Times" w:eastAsia="Times" w:hAnsi="Times" w:cs="Times"/>
          <w:color w:val="000000"/>
        </w:rPr>
        <w:t xml:space="preserve"> F, et al. Predictive value of the sFlt-1:PlGF ratio in women with suspected preeclampsia. </w:t>
      </w:r>
      <w:r>
        <w:rPr>
          <w:rFonts w:ascii="Times" w:eastAsia="Times" w:hAnsi="Times" w:cs="Times"/>
          <w:i/>
          <w:color w:val="000000"/>
        </w:rPr>
        <w:t xml:space="preserve">N </w:t>
      </w:r>
      <w:proofErr w:type="spellStart"/>
      <w:r>
        <w:rPr>
          <w:rFonts w:ascii="Times" w:eastAsia="Times" w:hAnsi="Times" w:cs="Times"/>
          <w:i/>
          <w:color w:val="000000"/>
        </w:rPr>
        <w:t>Engl</w:t>
      </w:r>
      <w:proofErr w:type="spellEnd"/>
      <w:r>
        <w:rPr>
          <w:rFonts w:ascii="Times" w:eastAsia="Times" w:hAnsi="Times" w:cs="Times"/>
          <w:i/>
          <w:color w:val="000000"/>
        </w:rPr>
        <w:t xml:space="preserve"> J Med</w:t>
      </w:r>
      <w:r>
        <w:rPr>
          <w:rFonts w:ascii="Times" w:eastAsia="Times" w:hAnsi="Times" w:cs="Times"/>
          <w:color w:val="000000"/>
        </w:rPr>
        <w:t>. 2016;374(1):13-22. doi:10.1056/NEJMoa1414838</w:t>
      </w:r>
    </w:p>
    <w:p w14:paraId="3714DD7E"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6. </w:t>
      </w:r>
      <w:r>
        <w:rPr>
          <w:rFonts w:ascii="Times" w:eastAsia="Times" w:hAnsi="Times" w:cs="Times"/>
          <w:color w:val="000000"/>
        </w:rPr>
        <w:tab/>
        <w:t xml:space="preserve">MacDonald TM, Tran C, </w:t>
      </w:r>
      <w:proofErr w:type="spellStart"/>
      <w:r>
        <w:rPr>
          <w:rFonts w:ascii="Times" w:eastAsia="Times" w:hAnsi="Times" w:cs="Times"/>
          <w:color w:val="000000"/>
        </w:rPr>
        <w:t>Kaitu’u</w:t>
      </w:r>
      <w:proofErr w:type="spellEnd"/>
      <w:r>
        <w:rPr>
          <w:rFonts w:ascii="Times" w:eastAsia="Times" w:hAnsi="Times" w:cs="Times"/>
          <w:color w:val="000000"/>
        </w:rPr>
        <w:t xml:space="preserve">-Lino TJ, et al. Assessing the sensitivity of placental growth factor and soluble </w:t>
      </w:r>
      <w:proofErr w:type="spellStart"/>
      <w:r>
        <w:rPr>
          <w:rFonts w:ascii="Times" w:eastAsia="Times" w:hAnsi="Times" w:cs="Times"/>
          <w:color w:val="000000"/>
        </w:rPr>
        <w:t>fms</w:t>
      </w:r>
      <w:proofErr w:type="spellEnd"/>
      <w:r>
        <w:rPr>
          <w:rFonts w:ascii="Times" w:eastAsia="Times" w:hAnsi="Times" w:cs="Times"/>
          <w:color w:val="000000"/>
        </w:rPr>
        <w:t xml:space="preserve">-like tyrosine kinase 1 at 36weeks’ gestation to predict small-for-gestational-age infants or late-onset preeclampsia: A prospective nested case-control study. </w:t>
      </w:r>
      <w:r>
        <w:rPr>
          <w:rFonts w:ascii="Times" w:eastAsia="Times" w:hAnsi="Times" w:cs="Times"/>
          <w:i/>
          <w:color w:val="000000"/>
        </w:rPr>
        <w:t>BMC Pregnancy Childbirth</w:t>
      </w:r>
      <w:r>
        <w:rPr>
          <w:rFonts w:ascii="Times" w:eastAsia="Times" w:hAnsi="Times" w:cs="Times"/>
          <w:color w:val="000000"/>
        </w:rPr>
        <w:t>. 2018;18(1):1-12. doi:10.1186/s12884-018-1992-x</w:t>
      </w:r>
    </w:p>
    <w:p w14:paraId="3681F374"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7. </w:t>
      </w:r>
      <w:r>
        <w:rPr>
          <w:rFonts w:ascii="Times" w:eastAsia="Times" w:hAnsi="Times" w:cs="Times"/>
          <w:color w:val="000000"/>
        </w:rPr>
        <w:tab/>
        <w:t xml:space="preserve">Hund M, </w:t>
      </w:r>
      <w:proofErr w:type="spellStart"/>
      <w:r>
        <w:rPr>
          <w:rFonts w:ascii="Times" w:eastAsia="Times" w:hAnsi="Times" w:cs="Times"/>
          <w:color w:val="000000"/>
        </w:rPr>
        <w:t>Allegranza</w:t>
      </w:r>
      <w:proofErr w:type="spellEnd"/>
      <w:r>
        <w:rPr>
          <w:rFonts w:ascii="Times" w:eastAsia="Times" w:hAnsi="Times" w:cs="Times"/>
          <w:color w:val="000000"/>
        </w:rPr>
        <w:t xml:space="preserve"> D, </w:t>
      </w:r>
      <w:proofErr w:type="spellStart"/>
      <w:r>
        <w:rPr>
          <w:rFonts w:ascii="Times" w:eastAsia="Times" w:hAnsi="Times" w:cs="Times"/>
          <w:color w:val="000000"/>
        </w:rPr>
        <w:t>Schoedl</w:t>
      </w:r>
      <w:proofErr w:type="spellEnd"/>
      <w:r>
        <w:rPr>
          <w:rFonts w:ascii="Times" w:eastAsia="Times" w:hAnsi="Times" w:cs="Times"/>
          <w:color w:val="000000"/>
        </w:rPr>
        <w:t xml:space="preserve"> M, </w:t>
      </w:r>
      <w:proofErr w:type="spellStart"/>
      <w:r>
        <w:rPr>
          <w:rFonts w:ascii="Times" w:eastAsia="Times" w:hAnsi="Times" w:cs="Times"/>
          <w:color w:val="000000"/>
        </w:rPr>
        <w:t>Dilba</w:t>
      </w:r>
      <w:proofErr w:type="spellEnd"/>
      <w:r>
        <w:rPr>
          <w:rFonts w:ascii="Times" w:eastAsia="Times" w:hAnsi="Times" w:cs="Times"/>
          <w:color w:val="000000"/>
        </w:rPr>
        <w:t xml:space="preserve"> P, </w:t>
      </w:r>
      <w:proofErr w:type="spellStart"/>
      <w:r>
        <w:rPr>
          <w:rFonts w:ascii="Times" w:eastAsia="Times" w:hAnsi="Times" w:cs="Times"/>
          <w:color w:val="000000"/>
        </w:rPr>
        <w:t>Verhagen-Kamerbeek</w:t>
      </w:r>
      <w:proofErr w:type="spellEnd"/>
      <w:r>
        <w:rPr>
          <w:rFonts w:ascii="Times" w:eastAsia="Times" w:hAnsi="Times" w:cs="Times"/>
          <w:color w:val="000000"/>
        </w:rPr>
        <w:t xml:space="preserve"> W, Stepan H. </w:t>
      </w:r>
      <w:proofErr w:type="spellStart"/>
      <w:r>
        <w:rPr>
          <w:rFonts w:ascii="Times" w:eastAsia="Times" w:hAnsi="Times" w:cs="Times"/>
          <w:color w:val="000000"/>
        </w:rPr>
        <w:t>Multicenter</w:t>
      </w:r>
      <w:proofErr w:type="spellEnd"/>
      <w:r>
        <w:rPr>
          <w:rFonts w:ascii="Times" w:eastAsia="Times" w:hAnsi="Times" w:cs="Times"/>
          <w:color w:val="000000"/>
        </w:rPr>
        <w:t xml:space="preserve"> prospective clinical study to evaluate the prediction of short-term outcome in pregnant women with suspected preeclampsia (PROGNOSIS): Study protocol. </w:t>
      </w:r>
      <w:r>
        <w:rPr>
          <w:rFonts w:ascii="Times" w:eastAsia="Times" w:hAnsi="Times" w:cs="Times"/>
          <w:i/>
          <w:color w:val="000000"/>
        </w:rPr>
        <w:t>BMC Pregnancy Childbirth</w:t>
      </w:r>
      <w:r>
        <w:rPr>
          <w:rFonts w:ascii="Times" w:eastAsia="Times" w:hAnsi="Times" w:cs="Times"/>
          <w:color w:val="000000"/>
        </w:rPr>
        <w:t>. 2014;14(1):1-10. doi:10.1186/1471-2393-14-324</w:t>
      </w:r>
    </w:p>
    <w:p w14:paraId="32658A53"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lastRenderedPageBreak/>
        <w:t xml:space="preserve">8. </w:t>
      </w:r>
      <w:r>
        <w:rPr>
          <w:rFonts w:ascii="Times" w:eastAsia="Times" w:hAnsi="Times" w:cs="Times"/>
          <w:color w:val="000000"/>
        </w:rPr>
        <w:tab/>
      </w:r>
      <w:proofErr w:type="spellStart"/>
      <w:r>
        <w:rPr>
          <w:rFonts w:ascii="Times" w:eastAsia="Times" w:hAnsi="Times" w:cs="Times"/>
          <w:color w:val="000000"/>
        </w:rPr>
        <w:t>Ukah</w:t>
      </w:r>
      <w:proofErr w:type="spellEnd"/>
      <w:r>
        <w:rPr>
          <w:rFonts w:ascii="Times" w:eastAsia="Times" w:hAnsi="Times" w:cs="Times"/>
          <w:color w:val="000000"/>
        </w:rPr>
        <w:t xml:space="preserve"> UV, Hutcheon JA, Payne B, et al. Placental growth factor as a prognostic tool in women with hypertensive disorders of pregnancy a systematic review. </w:t>
      </w:r>
      <w:r>
        <w:rPr>
          <w:rFonts w:ascii="Times" w:eastAsia="Times" w:hAnsi="Times" w:cs="Times"/>
          <w:i/>
          <w:color w:val="000000"/>
        </w:rPr>
        <w:t>Hypertension</w:t>
      </w:r>
      <w:r>
        <w:rPr>
          <w:rFonts w:ascii="Times" w:eastAsia="Times" w:hAnsi="Times" w:cs="Times"/>
          <w:color w:val="000000"/>
        </w:rPr>
        <w:t>. 2017;70(6):1228-1237. doi:10.1161/HYPERTENSIONAHA.117.10150</w:t>
      </w:r>
    </w:p>
    <w:p w14:paraId="7C785C2E"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9. </w:t>
      </w:r>
      <w:r>
        <w:rPr>
          <w:rFonts w:ascii="Times" w:eastAsia="Times" w:hAnsi="Times" w:cs="Times"/>
          <w:color w:val="000000"/>
        </w:rPr>
        <w:tab/>
      </w:r>
      <w:proofErr w:type="spellStart"/>
      <w:r>
        <w:rPr>
          <w:rFonts w:ascii="Times" w:eastAsia="Times" w:hAnsi="Times" w:cs="Times"/>
          <w:color w:val="000000"/>
        </w:rPr>
        <w:t>Duhig</w:t>
      </w:r>
      <w:proofErr w:type="spellEnd"/>
      <w:r>
        <w:rPr>
          <w:rFonts w:ascii="Times" w:eastAsia="Times" w:hAnsi="Times" w:cs="Times"/>
          <w:color w:val="000000"/>
        </w:rPr>
        <w:t xml:space="preserve"> KE, Myers J, Seed PT, et al. Placental growth factor testing to assess women with suspected pre-eclampsia: a multicentre, pragmatic, stepped-wedge cluster-randomised controlled trial. </w:t>
      </w:r>
      <w:r>
        <w:rPr>
          <w:rFonts w:ascii="Times" w:eastAsia="Times" w:hAnsi="Times" w:cs="Times"/>
          <w:i/>
          <w:color w:val="000000"/>
        </w:rPr>
        <w:t>Lancet</w:t>
      </w:r>
      <w:r>
        <w:rPr>
          <w:rFonts w:ascii="Times" w:eastAsia="Times" w:hAnsi="Times" w:cs="Times"/>
          <w:color w:val="000000"/>
        </w:rPr>
        <w:t>. 2019;393(10183):1807-1818. doi:10.1016/S0140-6736(18)33212-4</w:t>
      </w:r>
    </w:p>
    <w:p w14:paraId="30753C3C"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10. </w:t>
      </w:r>
      <w:r>
        <w:rPr>
          <w:rFonts w:ascii="Times" w:eastAsia="Times" w:hAnsi="Times" w:cs="Times"/>
          <w:color w:val="000000"/>
        </w:rPr>
        <w:tab/>
        <w:t xml:space="preserve">Agrawal S, </w:t>
      </w:r>
      <w:proofErr w:type="spellStart"/>
      <w:r>
        <w:rPr>
          <w:rFonts w:ascii="Times" w:eastAsia="Times" w:hAnsi="Times" w:cs="Times"/>
          <w:color w:val="000000"/>
        </w:rPr>
        <w:t>Cerdeira</w:t>
      </w:r>
      <w:proofErr w:type="spellEnd"/>
      <w:r>
        <w:rPr>
          <w:rFonts w:ascii="Times" w:eastAsia="Times" w:hAnsi="Times" w:cs="Times"/>
          <w:color w:val="000000"/>
        </w:rPr>
        <w:t xml:space="preserve"> AS, Redman C, </w:t>
      </w:r>
      <w:proofErr w:type="spellStart"/>
      <w:r>
        <w:rPr>
          <w:rFonts w:ascii="Times" w:eastAsia="Times" w:hAnsi="Times" w:cs="Times"/>
          <w:color w:val="000000"/>
        </w:rPr>
        <w:t>Vatish</w:t>
      </w:r>
      <w:proofErr w:type="spellEnd"/>
      <w:r>
        <w:rPr>
          <w:rFonts w:ascii="Times" w:eastAsia="Times" w:hAnsi="Times" w:cs="Times"/>
          <w:color w:val="000000"/>
        </w:rPr>
        <w:t xml:space="preserve"> M. Meta-analysis and systematic review to assess the role of soluble FMS-like tyrosine kinase-1 and placenta growth factor ratio in prediction of preeclampsia: The </w:t>
      </w:r>
      <w:proofErr w:type="spellStart"/>
      <w:r>
        <w:rPr>
          <w:rFonts w:ascii="Times" w:eastAsia="Times" w:hAnsi="Times" w:cs="Times"/>
          <w:color w:val="000000"/>
        </w:rPr>
        <w:t>SaPPPhirE</w:t>
      </w:r>
      <w:proofErr w:type="spellEnd"/>
      <w:r>
        <w:rPr>
          <w:rFonts w:ascii="Times" w:eastAsia="Times" w:hAnsi="Times" w:cs="Times"/>
          <w:color w:val="000000"/>
        </w:rPr>
        <w:t xml:space="preserve"> study. </w:t>
      </w:r>
      <w:r>
        <w:rPr>
          <w:rFonts w:ascii="Times" w:eastAsia="Times" w:hAnsi="Times" w:cs="Times"/>
          <w:i/>
          <w:color w:val="000000"/>
        </w:rPr>
        <w:t>Hypertension</w:t>
      </w:r>
      <w:r>
        <w:rPr>
          <w:rFonts w:ascii="Times" w:eastAsia="Times" w:hAnsi="Times" w:cs="Times"/>
          <w:color w:val="000000"/>
        </w:rPr>
        <w:t>. 2018;71(2):306-316. doi:10.1161/HYPERTENSIONAHA.117.10182</w:t>
      </w:r>
    </w:p>
    <w:p w14:paraId="1C949673"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11. </w:t>
      </w:r>
      <w:r>
        <w:rPr>
          <w:rFonts w:ascii="Times" w:eastAsia="Times" w:hAnsi="Times" w:cs="Times"/>
          <w:color w:val="000000"/>
        </w:rPr>
        <w:tab/>
      </w:r>
      <w:proofErr w:type="spellStart"/>
      <w:r>
        <w:rPr>
          <w:rFonts w:ascii="Times" w:eastAsia="Times" w:hAnsi="Times" w:cs="Times"/>
          <w:color w:val="000000"/>
        </w:rPr>
        <w:t>Antwi</w:t>
      </w:r>
      <w:proofErr w:type="spellEnd"/>
      <w:r>
        <w:rPr>
          <w:rFonts w:ascii="Times" w:eastAsia="Times" w:hAnsi="Times" w:cs="Times"/>
          <w:color w:val="000000"/>
        </w:rPr>
        <w:t xml:space="preserve"> E, </w:t>
      </w:r>
      <w:proofErr w:type="spellStart"/>
      <w:r>
        <w:rPr>
          <w:rFonts w:ascii="Times" w:eastAsia="Times" w:hAnsi="Times" w:cs="Times"/>
          <w:color w:val="000000"/>
        </w:rPr>
        <w:t>Amoakoh</w:t>
      </w:r>
      <w:proofErr w:type="spellEnd"/>
      <w:r>
        <w:rPr>
          <w:rFonts w:ascii="Times" w:eastAsia="Times" w:hAnsi="Times" w:cs="Times"/>
          <w:color w:val="000000"/>
        </w:rPr>
        <w:t xml:space="preserve">-Coleman M, Vieira DL, et al. Systematic review of prediction models for gestational hypertension and preeclampsia. </w:t>
      </w:r>
      <w:proofErr w:type="spellStart"/>
      <w:r>
        <w:rPr>
          <w:rFonts w:ascii="Times" w:eastAsia="Times" w:hAnsi="Times" w:cs="Times"/>
          <w:i/>
          <w:color w:val="000000"/>
        </w:rPr>
        <w:t>PLoS</w:t>
      </w:r>
      <w:proofErr w:type="spellEnd"/>
      <w:r>
        <w:rPr>
          <w:rFonts w:ascii="Times" w:eastAsia="Times" w:hAnsi="Times" w:cs="Times"/>
          <w:i/>
          <w:color w:val="000000"/>
        </w:rPr>
        <w:t xml:space="preserve"> One</w:t>
      </w:r>
      <w:r>
        <w:rPr>
          <w:rFonts w:ascii="Times" w:eastAsia="Times" w:hAnsi="Times" w:cs="Times"/>
          <w:color w:val="000000"/>
        </w:rPr>
        <w:t>. 2020;15(4):1-24. doi:10.1371/journal.pone.0230955</w:t>
      </w:r>
    </w:p>
    <w:p w14:paraId="0B5C8CA7"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12. </w:t>
      </w:r>
      <w:r>
        <w:rPr>
          <w:rFonts w:ascii="Times" w:eastAsia="Times" w:hAnsi="Times" w:cs="Times"/>
          <w:color w:val="000000"/>
        </w:rPr>
        <w:tab/>
        <w:t xml:space="preserve">Cheng YKY, Law LW, Leung TY, Chan OK, Sahota DS. Soluble </w:t>
      </w:r>
      <w:proofErr w:type="spellStart"/>
      <w:r>
        <w:rPr>
          <w:rFonts w:ascii="Times" w:eastAsia="Times" w:hAnsi="Times" w:cs="Times"/>
          <w:color w:val="000000"/>
        </w:rPr>
        <w:t>fms</w:t>
      </w:r>
      <w:proofErr w:type="spellEnd"/>
      <w:r>
        <w:rPr>
          <w:rFonts w:ascii="Times" w:eastAsia="Times" w:hAnsi="Times" w:cs="Times"/>
          <w:color w:val="000000"/>
        </w:rPr>
        <w:t xml:space="preserve">-like tyrosine kinase-1, placental growth factor and their ratio as a predictor for pre-eclampsia in East Asians. </w:t>
      </w:r>
      <w:r>
        <w:rPr>
          <w:rFonts w:ascii="Times" w:eastAsia="Times" w:hAnsi="Times" w:cs="Times"/>
          <w:i/>
          <w:color w:val="000000"/>
        </w:rPr>
        <w:t xml:space="preserve">Pregnancy </w:t>
      </w:r>
      <w:proofErr w:type="spellStart"/>
      <w:r>
        <w:rPr>
          <w:rFonts w:ascii="Times" w:eastAsia="Times" w:hAnsi="Times" w:cs="Times"/>
          <w:i/>
          <w:color w:val="000000"/>
        </w:rPr>
        <w:t>Hypertens</w:t>
      </w:r>
      <w:proofErr w:type="spellEnd"/>
      <w:r>
        <w:rPr>
          <w:rFonts w:ascii="Times" w:eastAsia="Times" w:hAnsi="Times" w:cs="Times"/>
          <w:color w:val="000000"/>
        </w:rPr>
        <w:t>. 2018;11(October 2017):61-65. doi:10.1016/j.preghy.2017.12.002</w:t>
      </w:r>
    </w:p>
    <w:p w14:paraId="788C9218"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13. </w:t>
      </w:r>
      <w:r>
        <w:rPr>
          <w:rFonts w:ascii="Times" w:eastAsia="Times" w:hAnsi="Times" w:cs="Times"/>
          <w:color w:val="000000"/>
        </w:rPr>
        <w:tab/>
      </w:r>
      <w:proofErr w:type="spellStart"/>
      <w:r>
        <w:rPr>
          <w:rFonts w:ascii="Times" w:eastAsia="Times" w:hAnsi="Times" w:cs="Times"/>
          <w:color w:val="000000"/>
        </w:rPr>
        <w:t>Schlembach</w:t>
      </w:r>
      <w:proofErr w:type="spellEnd"/>
      <w:r>
        <w:rPr>
          <w:rFonts w:ascii="Times" w:eastAsia="Times" w:hAnsi="Times" w:cs="Times"/>
          <w:color w:val="000000"/>
        </w:rPr>
        <w:t xml:space="preserve"> D, Hund M, </w:t>
      </w:r>
      <w:proofErr w:type="spellStart"/>
      <w:r>
        <w:rPr>
          <w:rFonts w:ascii="Times" w:eastAsia="Times" w:hAnsi="Times" w:cs="Times"/>
          <w:color w:val="000000"/>
        </w:rPr>
        <w:t>Schroer</w:t>
      </w:r>
      <w:proofErr w:type="spellEnd"/>
      <w:r>
        <w:rPr>
          <w:rFonts w:ascii="Times" w:eastAsia="Times" w:hAnsi="Times" w:cs="Times"/>
          <w:color w:val="000000"/>
        </w:rPr>
        <w:t xml:space="preserve"> A, Wolf C. Economic assessment of the use of the sFlt-1/</w:t>
      </w:r>
      <w:proofErr w:type="spellStart"/>
      <w:r>
        <w:rPr>
          <w:rFonts w:ascii="Times" w:eastAsia="Times" w:hAnsi="Times" w:cs="Times"/>
          <w:color w:val="000000"/>
        </w:rPr>
        <w:t>PlGF</w:t>
      </w:r>
      <w:proofErr w:type="spellEnd"/>
      <w:r>
        <w:rPr>
          <w:rFonts w:ascii="Times" w:eastAsia="Times" w:hAnsi="Times" w:cs="Times"/>
          <w:color w:val="000000"/>
        </w:rPr>
        <w:t xml:space="preserve"> ratio test to predict preeclampsia in Germany. </w:t>
      </w:r>
      <w:r>
        <w:rPr>
          <w:rFonts w:ascii="Times" w:eastAsia="Times" w:hAnsi="Times" w:cs="Times"/>
          <w:i/>
          <w:color w:val="000000"/>
        </w:rPr>
        <w:t xml:space="preserve">BMC Health </w:t>
      </w:r>
      <w:proofErr w:type="spellStart"/>
      <w:r>
        <w:rPr>
          <w:rFonts w:ascii="Times" w:eastAsia="Times" w:hAnsi="Times" w:cs="Times"/>
          <w:i/>
          <w:color w:val="000000"/>
        </w:rPr>
        <w:t>Serv</w:t>
      </w:r>
      <w:proofErr w:type="spellEnd"/>
      <w:r>
        <w:rPr>
          <w:rFonts w:ascii="Times" w:eastAsia="Times" w:hAnsi="Times" w:cs="Times"/>
          <w:i/>
          <w:color w:val="000000"/>
        </w:rPr>
        <w:t xml:space="preserve"> Res</w:t>
      </w:r>
      <w:r>
        <w:rPr>
          <w:rFonts w:ascii="Times" w:eastAsia="Times" w:hAnsi="Times" w:cs="Times"/>
          <w:color w:val="000000"/>
        </w:rPr>
        <w:t>. 2018;18(1):1-11. doi:10.1186/s12913-018-3406-1</w:t>
      </w:r>
    </w:p>
    <w:p w14:paraId="43CDA219"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14. </w:t>
      </w:r>
      <w:r>
        <w:rPr>
          <w:rFonts w:ascii="Times" w:eastAsia="Times" w:hAnsi="Times" w:cs="Times"/>
          <w:color w:val="000000"/>
        </w:rPr>
        <w:tab/>
        <w:t xml:space="preserve">Lou WZ, Jiang F, Hu J, et al. Maternal Serum Angiogenic Factor sFlt-1 to </w:t>
      </w:r>
      <w:proofErr w:type="spellStart"/>
      <w:r>
        <w:rPr>
          <w:rFonts w:ascii="Times" w:eastAsia="Times" w:hAnsi="Times" w:cs="Times"/>
          <w:color w:val="000000"/>
        </w:rPr>
        <w:t>PlGF</w:t>
      </w:r>
      <w:proofErr w:type="spellEnd"/>
      <w:r>
        <w:rPr>
          <w:rFonts w:ascii="Times" w:eastAsia="Times" w:hAnsi="Times" w:cs="Times"/>
          <w:color w:val="000000"/>
        </w:rPr>
        <w:t xml:space="preserve"> Ratio in Preeclampsia: A Useful Marker for Differential Diagnosis and Prognosis Evaluation in Chinese Women. </w:t>
      </w:r>
      <w:r>
        <w:rPr>
          <w:rFonts w:ascii="Times" w:eastAsia="Times" w:hAnsi="Times" w:cs="Times"/>
          <w:i/>
          <w:color w:val="000000"/>
        </w:rPr>
        <w:t>Dis Markers</w:t>
      </w:r>
      <w:r>
        <w:rPr>
          <w:rFonts w:ascii="Times" w:eastAsia="Times" w:hAnsi="Times" w:cs="Times"/>
          <w:color w:val="000000"/>
        </w:rPr>
        <w:t>. 2019;2019:6270187. doi:10.1155/2019/6270187</w:t>
      </w:r>
    </w:p>
    <w:p w14:paraId="42D06AD4"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15. </w:t>
      </w:r>
      <w:r>
        <w:rPr>
          <w:rFonts w:ascii="Times" w:eastAsia="Times" w:hAnsi="Times" w:cs="Times"/>
          <w:color w:val="000000"/>
        </w:rPr>
        <w:tab/>
        <w:t xml:space="preserve">Hodel M, Blank PR, Marty P, </w:t>
      </w:r>
      <w:proofErr w:type="spellStart"/>
      <w:r>
        <w:rPr>
          <w:rFonts w:ascii="Times" w:eastAsia="Times" w:hAnsi="Times" w:cs="Times"/>
          <w:color w:val="000000"/>
        </w:rPr>
        <w:t>Lapaire</w:t>
      </w:r>
      <w:proofErr w:type="spellEnd"/>
      <w:r>
        <w:rPr>
          <w:rFonts w:ascii="Times" w:eastAsia="Times" w:hAnsi="Times" w:cs="Times"/>
          <w:color w:val="000000"/>
        </w:rPr>
        <w:t xml:space="preserve"> O. sFlt-1/</w:t>
      </w:r>
      <w:proofErr w:type="spellStart"/>
      <w:r>
        <w:rPr>
          <w:rFonts w:ascii="Times" w:eastAsia="Times" w:hAnsi="Times" w:cs="Times"/>
          <w:color w:val="000000"/>
        </w:rPr>
        <w:t>PlGF</w:t>
      </w:r>
      <w:proofErr w:type="spellEnd"/>
      <w:r>
        <w:rPr>
          <w:rFonts w:ascii="Times" w:eastAsia="Times" w:hAnsi="Times" w:cs="Times"/>
          <w:color w:val="000000"/>
        </w:rPr>
        <w:t xml:space="preserve"> Ratio as a Predictive Marker in </w:t>
      </w:r>
      <w:r>
        <w:rPr>
          <w:rFonts w:ascii="Times" w:eastAsia="Times" w:hAnsi="Times" w:cs="Times"/>
          <w:color w:val="000000"/>
        </w:rPr>
        <w:lastRenderedPageBreak/>
        <w:t xml:space="preserve">Women with Suspected Preeclampsia: An Economic Evaluation from a Swiss Perspective. </w:t>
      </w:r>
      <w:r>
        <w:rPr>
          <w:rFonts w:ascii="Times" w:eastAsia="Times" w:hAnsi="Times" w:cs="Times"/>
          <w:i/>
          <w:color w:val="000000"/>
        </w:rPr>
        <w:t>Dis Markers</w:t>
      </w:r>
      <w:r>
        <w:rPr>
          <w:rFonts w:ascii="Times" w:eastAsia="Times" w:hAnsi="Times" w:cs="Times"/>
          <w:color w:val="000000"/>
        </w:rPr>
        <w:t>. 2019;2019:4096847. doi:10.1155/2019/4096847</w:t>
      </w:r>
    </w:p>
    <w:p w14:paraId="509F275F"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16. </w:t>
      </w:r>
      <w:r>
        <w:rPr>
          <w:rFonts w:ascii="Times" w:eastAsia="Times" w:hAnsi="Times" w:cs="Times"/>
          <w:color w:val="000000"/>
        </w:rPr>
        <w:tab/>
        <w:t xml:space="preserve">Andersen LB, </w:t>
      </w:r>
      <w:proofErr w:type="spellStart"/>
      <w:r>
        <w:rPr>
          <w:rFonts w:ascii="Times" w:eastAsia="Times" w:hAnsi="Times" w:cs="Times"/>
          <w:color w:val="000000"/>
        </w:rPr>
        <w:t>Dechend</w:t>
      </w:r>
      <w:proofErr w:type="spellEnd"/>
      <w:r>
        <w:rPr>
          <w:rFonts w:ascii="Times" w:eastAsia="Times" w:hAnsi="Times" w:cs="Times"/>
          <w:color w:val="000000"/>
        </w:rPr>
        <w:t xml:space="preserve"> R, </w:t>
      </w:r>
      <w:proofErr w:type="spellStart"/>
      <w:r>
        <w:rPr>
          <w:rFonts w:ascii="Times" w:eastAsia="Times" w:hAnsi="Times" w:cs="Times"/>
          <w:color w:val="000000"/>
        </w:rPr>
        <w:t>Jørgensen</w:t>
      </w:r>
      <w:proofErr w:type="spellEnd"/>
      <w:r>
        <w:rPr>
          <w:rFonts w:ascii="Times" w:eastAsia="Times" w:hAnsi="Times" w:cs="Times"/>
          <w:color w:val="000000"/>
        </w:rPr>
        <w:t xml:space="preserve"> JS, et al. Prediction of preeclampsia with angiogenic biomarkers. Results from the prospective Odense Child Cohort. </w:t>
      </w:r>
      <w:proofErr w:type="spellStart"/>
      <w:r>
        <w:rPr>
          <w:rFonts w:ascii="Times" w:eastAsia="Times" w:hAnsi="Times" w:cs="Times"/>
          <w:i/>
          <w:color w:val="000000"/>
        </w:rPr>
        <w:t>Hypertens</w:t>
      </w:r>
      <w:proofErr w:type="spellEnd"/>
      <w:r>
        <w:rPr>
          <w:rFonts w:ascii="Times" w:eastAsia="Times" w:hAnsi="Times" w:cs="Times"/>
          <w:i/>
          <w:color w:val="000000"/>
        </w:rPr>
        <w:t xml:space="preserve"> Pregnancy</w:t>
      </w:r>
      <w:r>
        <w:rPr>
          <w:rFonts w:ascii="Times" w:eastAsia="Times" w:hAnsi="Times" w:cs="Times"/>
          <w:color w:val="000000"/>
        </w:rPr>
        <w:t>. 2016;35(3):405-419. doi:10.3109/10641955.2016.1167219</w:t>
      </w:r>
    </w:p>
    <w:p w14:paraId="04B657FC"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17. </w:t>
      </w:r>
      <w:r>
        <w:rPr>
          <w:rFonts w:ascii="Times" w:eastAsia="Times" w:hAnsi="Times" w:cs="Times"/>
          <w:color w:val="000000"/>
        </w:rPr>
        <w:tab/>
        <w:t xml:space="preserve">Saleh L, </w:t>
      </w:r>
      <w:proofErr w:type="spellStart"/>
      <w:r>
        <w:rPr>
          <w:rFonts w:ascii="Times" w:eastAsia="Times" w:hAnsi="Times" w:cs="Times"/>
          <w:color w:val="000000"/>
        </w:rPr>
        <w:t>Vergouwe</w:t>
      </w:r>
      <w:proofErr w:type="spellEnd"/>
      <w:r>
        <w:rPr>
          <w:rFonts w:ascii="Times" w:eastAsia="Times" w:hAnsi="Times" w:cs="Times"/>
          <w:color w:val="000000"/>
        </w:rPr>
        <w:t xml:space="preserve"> Y, Van Den </w:t>
      </w:r>
      <w:proofErr w:type="spellStart"/>
      <w:r>
        <w:rPr>
          <w:rFonts w:ascii="Times" w:eastAsia="Times" w:hAnsi="Times" w:cs="Times"/>
          <w:color w:val="000000"/>
        </w:rPr>
        <w:t>Meiracker</w:t>
      </w:r>
      <w:proofErr w:type="spellEnd"/>
      <w:r>
        <w:rPr>
          <w:rFonts w:ascii="Times" w:eastAsia="Times" w:hAnsi="Times" w:cs="Times"/>
          <w:color w:val="000000"/>
        </w:rPr>
        <w:t xml:space="preserve"> AH, et al. Angiogenic Markers Predict Pregnancy Complications and Prolongation in Preeclampsia: Continuous Versus </w:t>
      </w:r>
      <w:proofErr w:type="spellStart"/>
      <w:r>
        <w:rPr>
          <w:rFonts w:ascii="Times" w:eastAsia="Times" w:hAnsi="Times" w:cs="Times"/>
          <w:color w:val="000000"/>
        </w:rPr>
        <w:t>Cutoff</w:t>
      </w:r>
      <w:proofErr w:type="spellEnd"/>
      <w:r>
        <w:rPr>
          <w:rFonts w:ascii="Times" w:eastAsia="Times" w:hAnsi="Times" w:cs="Times"/>
          <w:color w:val="000000"/>
        </w:rPr>
        <w:t xml:space="preserve"> Values. </w:t>
      </w:r>
      <w:r>
        <w:rPr>
          <w:rFonts w:ascii="Times" w:eastAsia="Times" w:hAnsi="Times" w:cs="Times"/>
          <w:i/>
          <w:color w:val="000000"/>
        </w:rPr>
        <w:t>Hypertension</w:t>
      </w:r>
      <w:r>
        <w:rPr>
          <w:rFonts w:ascii="Times" w:eastAsia="Times" w:hAnsi="Times" w:cs="Times"/>
          <w:color w:val="000000"/>
        </w:rPr>
        <w:t>. 2017;70(5):1025-1033. doi:10.1161/HYPERTENSIONAHA.117.09913</w:t>
      </w:r>
    </w:p>
    <w:p w14:paraId="625A044F"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18. </w:t>
      </w:r>
      <w:r>
        <w:rPr>
          <w:rFonts w:ascii="Times" w:eastAsia="Times" w:hAnsi="Times" w:cs="Times"/>
          <w:color w:val="000000"/>
        </w:rPr>
        <w:tab/>
        <w:t xml:space="preserve">Frampton GK, Jones J, Rose M, Payne L. Placental growth factor (Alone or in combination with soluble </w:t>
      </w:r>
      <w:proofErr w:type="spellStart"/>
      <w:r>
        <w:rPr>
          <w:rFonts w:ascii="Times" w:eastAsia="Times" w:hAnsi="Times" w:cs="Times"/>
          <w:color w:val="000000"/>
        </w:rPr>
        <w:t>fms</w:t>
      </w:r>
      <w:proofErr w:type="spellEnd"/>
      <w:r>
        <w:rPr>
          <w:rFonts w:ascii="Times" w:eastAsia="Times" w:hAnsi="Times" w:cs="Times"/>
          <w:color w:val="000000"/>
        </w:rPr>
        <w:t xml:space="preserve">-like tyrosine kinase 1) as an aid to the assessment of women with suspected pre-eclampsia: Systematic review and economic analysis. </w:t>
      </w:r>
      <w:r>
        <w:rPr>
          <w:rFonts w:ascii="Times" w:eastAsia="Times" w:hAnsi="Times" w:cs="Times"/>
          <w:i/>
          <w:color w:val="000000"/>
        </w:rPr>
        <w:t xml:space="preserve">Health </w:t>
      </w:r>
      <w:proofErr w:type="spellStart"/>
      <w:r>
        <w:rPr>
          <w:rFonts w:ascii="Times" w:eastAsia="Times" w:hAnsi="Times" w:cs="Times"/>
          <w:i/>
          <w:color w:val="000000"/>
        </w:rPr>
        <w:t>Technol</w:t>
      </w:r>
      <w:proofErr w:type="spellEnd"/>
      <w:r>
        <w:rPr>
          <w:rFonts w:ascii="Times" w:eastAsia="Times" w:hAnsi="Times" w:cs="Times"/>
          <w:i/>
          <w:color w:val="000000"/>
        </w:rPr>
        <w:t xml:space="preserve"> Assess (</w:t>
      </w:r>
      <w:proofErr w:type="spellStart"/>
      <w:r>
        <w:rPr>
          <w:rFonts w:ascii="Times" w:eastAsia="Times" w:hAnsi="Times" w:cs="Times"/>
          <w:i/>
          <w:color w:val="000000"/>
        </w:rPr>
        <w:t>Rockv</w:t>
      </w:r>
      <w:proofErr w:type="spellEnd"/>
      <w:r>
        <w:rPr>
          <w:rFonts w:ascii="Times" w:eastAsia="Times" w:hAnsi="Times" w:cs="Times"/>
          <w:i/>
          <w:color w:val="000000"/>
        </w:rPr>
        <w:t>)</w:t>
      </w:r>
      <w:r>
        <w:rPr>
          <w:rFonts w:ascii="Times" w:eastAsia="Times" w:hAnsi="Times" w:cs="Times"/>
          <w:color w:val="000000"/>
        </w:rPr>
        <w:t>. 2016;20(87):1-192. doi:10.3310/hta20870</w:t>
      </w:r>
    </w:p>
    <w:p w14:paraId="32643985"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19. </w:t>
      </w:r>
      <w:r>
        <w:rPr>
          <w:rFonts w:ascii="Times" w:eastAsia="Times" w:hAnsi="Times" w:cs="Times"/>
          <w:color w:val="000000"/>
        </w:rPr>
        <w:tab/>
        <w:t xml:space="preserve">Royston P, Altman DG, </w:t>
      </w:r>
      <w:proofErr w:type="spellStart"/>
      <w:r>
        <w:rPr>
          <w:rFonts w:ascii="Times" w:eastAsia="Times" w:hAnsi="Times" w:cs="Times"/>
          <w:color w:val="000000"/>
        </w:rPr>
        <w:t>Sauerbrei</w:t>
      </w:r>
      <w:proofErr w:type="spellEnd"/>
      <w:r>
        <w:rPr>
          <w:rFonts w:ascii="Times" w:eastAsia="Times" w:hAnsi="Times" w:cs="Times"/>
          <w:color w:val="000000"/>
        </w:rPr>
        <w:t xml:space="preserve"> W. Dichotomizing continuous predictors in multiple regression: A bad idea. </w:t>
      </w:r>
      <w:r>
        <w:rPr>
          <w:rFonts w:ascii="Times" w:eastAsia="Times" w:hAnsi="Times" w:cs="Times"/>
          <w:i/>
          <w:color w:val="000000"/>
        </w:rPr>
        <w:t>Stat Med</w:t>
      </w:r>
      <w:r>
        <w:rPr>
          <w:rFonts w:ascii="Times" w:eastAsia="Times" w:hAnsi="Times" w:cs="Times"/>
          <w:color w:val="000000"/>
        </w:rPr>
        <w:t>. 2006;25(1):127-141. doi:10.1002/sim.2331</w:t>
      </w:r>
    </w:p>
    <w:p w14:paraId="49FF6F98"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20. </w:t>
      </w:r>
      <w:r>
        <w:rPr>
          <w:rFonts w:ascii="Times" w:eastAsia="Times" w:hAnsi="Times" w:cs="Times"/>
          <w:color w:val="000000"/>
        </w:rPr>
        <w:tab/>
      </w:r>
      <w:proofErr w:type="spellStart"/>
      <w:r>
        <w:rPr>
          <w:rFonts w:ascii="Times" w:eastAsia="Times" w:hAnsi="Times" w:cs="Times"/>
          <w:color w:val="000000"/>
        </w:rPr>
        <w:t>Steyerberg</w:t>
      </w:r>
      <w:proofErr w:type="spellEnd"/>
      <w:r>
        <w:rPr>
          <w:rFonts w:ascii="Times" w:eastAsia="Times" w:hAnsi="Times" w:cs="Times"/>
          <w:color w:val="000000"/>
        </w:rPr>
        <w:t xml:space="preserve"> EW. </w:t>
      </w:r>
      <w:r>
        <w:rPr>
          <w:rFonts w:ascii="Times" w:eastAsia="Times" w:hAnsi="Times" w:cs="Times"/>
          <w:i/>
          <w:color w:val="000000"/>
        </w:rPr>
        <w:t xml:space="preserve">Clinical Prediction Models: A Practical Approach to Development, Validation, and Updating by </w:t>
      </w:r>
      <w:proofErr w:type="spellStart"/>
      <w:r>
        <w:rPr>
          <w:rFonts w:ascii="Times" w:eastAsia="Times" w:hAnsi="Times" w:cs="Times"/>
          <w:i/>
          <w:color w:val="000000"/>
        </w:rPr>
        <w:t>Ewout</w:t>
      </w:r>
      <w:proofErr w:type="spellEnd"/>
      <w:r>
        <w:rPr>
          <w:rFonts w:ascii="Times" w:eastAsia="Times" w:hAnsi="Times" w:cs="Times"/>
          <w:i/>
          <w:color w:val="000000"/>
        </w:rPr>
        <w:t xml:space="preserve"> W. </w:t>
      </w:r>
      <w:proofErr w:type="spellStart"/>
      <w:r>
        <w:rPr>
          <w:rFonts w:ascii="Times" w:eastAsia="Times" w:hAnsi="Times" w:cs="Times"/>
          <w:i/>
          <w:color w:val="000000"/>
        </w:rPr>
        <w:t>Steyerberg</w:t>
      </w:r>
      <w:proofErr w:type="spellEnd"/>
      <w:r>
        <w:rPr>
          <w:rFonts w:ascii="Times" w:eastAsia="Times" w:hAnsi="Times" w:cs="Times"/>
          <w:color w:val="000000"/>
        </w:rPr>
        <w:t>. Vol 77.; 2009. doi:10.1111/j.1751-5823.2009.00085_22.x</w:t>
      </w:r>
    </w:p>
    <w:p w14:paraId="6768F09C"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21. </w:t>
      </w:r>
      <w:r>
        <w:rPr>
          <w:rFonts w:ascii="Times" w:eastAsia="Times" w:hAnsi="Times" w:cs="Times"/>
          <w:color w:val="000000"/>
        </w:rPr>
        <w:tab/>
      </w:r>
      <w:proofErr w:type="spellStart"/>
      <w:r>
        <w:rPr>
          <w:rFonts w:ascii="Times" w:eastAsia="Times" w:hAnsi="Times" w:cs="Times"/>
          <w:color w:val="000000"/>
        </w:rPr>
        <w:t>Cerdeira</w:t>
      </w:r>
      <w:proofErr w:type="spellEnd"/>
      <w:r>
        <w:rPr>
          <w:rFonts w:ascii="Times" w:eastAsia="Times" w:hAnsi="Times" w:cs="Times"/>
          <w:color w:val="000000"/>
        </w:rPr>
        <w:t xml:space="preserve"> AS, O’Sullivan J, </w:t>
      </w:r>
      <w:proofErr w:type="spellStart"/>
      <w:r>
        <w:rPr>
          <w:rFonts w:ascii="Times" w:eastAsia="Times" w:hAnsi="Times" w:cs="Times"/>
          <w:color w:val="000000"/>
        </w:rPr>
        <w:t>Ohuma</w:t>
      </w:r>
      <w:proofErr w:type="spellEnd"/>
      <w:r>
        <w:rPr>
          <w:rFonts w:ascii="Times" w:eastAsia="Times" w:hAnsi="Times" w:cs="Times"/>
          <w:color w:val="000000"/>
        </w:rPr>
        <w:t xml:space="preserve"> EO, et al. Randomized Interventional Study on Prediction of Preeclampsia/Eclampsia in Women with Suspected Preeclampsia: INSPIRE. </w:t>
      </w:r>
      <w:r>
        <w:rPr>
          <w:rFonts w:ascii="Times" w:eastAsia="Times" w:hAnsi="Times" w:cs="Times"/>
          <w:i/>
          <w:color w:val="000000"/>
        </w:rPr>
        <w:t>Hypertension</w:t>
      </w:r>
      <w:r>
        <w:rPr>
          <w:rFonts w:ascii="Times" w:eastAsia="Times" w:hAnsi="Times" w:cs="Times"/>
          <w:color w:val="000000"/>
        </w:rPr>
        <w:t>. 2019;74(4):983-990. doi:10.1161/HYPERTENSIONAHA.119.12739</w:t>
      </w:r>
    </w:p>
    <w:p w14:paraId="3FE37B12"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22. </w:t>
      </w:r>
      <w:r>
        <w:rPr>
          <w:rFonts w:ascii="Times" w:eastAsia="Times" w:hAnsi="Times" w:cs="Times"/>
          <w:color w:val="000000"/>
        </w:rPr>
        <w:tab/>
        <w:t xml:space="preserve">Riley RD, Snell KIE, Ensor J, et al. Minimum sample size for developing a multivariable prediction model: PART II - binary and time-to-event outcomes. </w:t>
      </w:r>
      <w:r>
        <w:rPr>
          <w:rFonts w:ascii="Times" w:eastAsia="Times" w:hAnsi="Times" w:cs="Times"/>
          <w:i/>
          <w:color w:val="000000"/>
        </w:rPr>
        <w:t>Stat Med</w:t>
      </w:r>
      <w:r>
        <w:rPr>
          <w:rFonts w:ascii="Times" w:eastAsia="Times" w:hAnsi="Times" w:cs="Times"/>
          <w:color w:val="000000"/>
        </w:rPr>
        <w:t>. 2019;38(7):1276-1296. doi:10.1002/sim.7992</w:t>
      </w:r>
    </w:p>
    <w:p w14:paraId="14F538AF"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lastRenderedPageBreak/>
        <w:t xml:space="preserve">23. </w:t>
      </w:r>
      <w:r>
        <w:rPr>
          <w:rFonts w:ascii="Times" w:eastAsia="Times" w:hAnsi="Times" w:cs="Times"/>
          <w:color w:val="000000"/>
        </w:rPr>
        <w:tab/>
      </w:r>
      <w:proofErr w:type="spellStart"/>
      <w:r>
        <w:rPr>
          <w:rFonts w:ascii="Times" w:eastAsia="Times" w:hAnsi="Times" w:cs="Times"/>
          <w:color w:val="000000"/>
        </w:rPr>
        <w:t>Groenwold</w:t>
      </w:r>
      <w:proofErr w:type="spellEnd"/>
      <w:r>
        <w:rPr>
          <w:rFonts w:ascii="Times" w:eastAsia="Times" w:hAnsi="Times" w:cs="Times"/>
          <w:color w:val="000000"/>
        </w:rPr>
        <w:t xml:space="preserve"> RHH, Moons KGM, </w:t>
      </w:r>
      <w:proofErr w:type="spellStart"/>
      <w:r>
        <w:rPr>
          <w:rFonts w:ascii="Times" w:eastAsia="Times" w:hAnsi="Times" w:cs="Times"/>
          <w:color w:val="000000"/>
        </w:rPr>
        <w:t>Pajouheshnia</w:t>
      </w:r>
      <w:proofErr w:type="spellEnd"/>
      <w:r>
        <w:rPr>
          <w:rFonts w:ascii="Times" w:eastAsia="Times" w:hAnsi="Times" w:cs="Times"/>
          <w:color w:val="000000"/>
        </w:rPr>
        <w:t xml:space="preserve"> R, et al. Explicit inclusion of treatment in prognostic </w:t>
      </w:r>
      <w:proofErr w:type="spellStart"/>
      <w:r>
        <w:rPr>
          <w:rFonts w:ascii="Times" w:eastAsia="Times" w:hAnsi="Times" w:cs="Times"/>
          <w:color w:val="000000"/>
        </w:rPr>
        <w:t>modeling</w:t>
      </w:r>
      <w:proofErr w:type="spellEnd"/>
      <w:r>
        <w:rPr>
          <w:rFonts w:ascii="Times" w:eastAsia="Times" w:hAnsi="Times" w:cs="Times"/>
          <w:color w:val="000000"/>
        </w:rPr>
        <w:t xml:space="preserve"> was recommended in observational and randomized settings. </w:t>
      </w:r>
      <w:r>
        <w:rPr>
          <w:rFonts w:ascii="Times" w:eastAsia="Times" w:hAnsi="Times" w:cs="Times"/>
          <w:i/>
          <w:color w:val="000000"/>
        </w:rPr>
        <w:t xml:space="preserve">J Clin </w:t>
      </w:r>
      <w:proofErr w:type="spellStart"/>
      <w:r>
        <w:rPr>
          <w:rFonts w:ascii="Times" w:eastAsia="Times" w:hAnsi="Times" w:cs="Times"/>
          <w:i/>
          <w:color w:val="000000"/>
        </w:rPr>
        <w:t>Epidemiol</w:t>
      </w:r>
      <w:proofErr w:type="spellEnd"/>
      <w:r>
        <w:rPr>
          <w:rFonts w:ascii="Times" w:eastAsia="Times" w:hAnsi="Times" w:cs="Times"/>
          <w:color w:val="000000"/>
        </w:rPr>
        <w:t>. 2016;78:90-100. doi:10.1016/j.jclinepi.2016.03.017</w:t>
      </w:r>
    </w:p>
    <w:p w14:paraId="1E8C4E91"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24. </w:t>
      </w:r>
      <w:r>
        <w:rPr>
          <w:rFonts w:ascii="Times" w:eastAsia="Times" w:hAnsi="Times" w:cs="Times"/>
          <w:color w:val="000000"/>
        </w:rPr>
        <w:tab/>
      </w:r>
      <w:proofErr w:type="spellStart"/>
      <w:r>
        <w:rPr>
          <w:rFonts w:ascii="Times" w:eastAsia="Times" w:hAnsi="Times" w:cs="Times"/>
          <w:color w:val="000000"/>
        </w:rPr>
        <w:t>Verlohren</w:t>
      </w:r>
      <w:proofErr w:type="spellEnd"/>
      <w:r>
        <w:rPr>
          <w:rFonts w:ascii="Times" w:eastAsia="Times" w:hAnsi="Times" w:cs="Times"/>
          <w:color w:val="000000"/>
        </w:rPr>
        <w:t xml:space="preserve"> S, Galindo A, </w:t>
      </w:r>
      <w:proofErr w:type="spellStart"/>
      <w:r>
        <w:rPr>
          <w:rFonts w:ascii="Times" w:eastAsia="Times" w:hAnsi="Times" w:cs="Times"/>
          <w:color w:val="000000"/>
        </w:rPr>
        <w:t>Schlembach</w:t>
      </w:r>
      <w:proofErr w:type="spellEnd"/>
      <w:r>
        <w:rPr>
          <w:rFonts w:ascii="Times" w:eastAsia="Times" w:hAnsi="Times" w:cs="Times"/>
          <w:color w:val="000000"/>
        </w:rPr>
        <w:t xml:space="preserve"> D, et al. An automated method for the determination of the sFlt-1/PIGF ratio in the assessment of preeclampsia. </w:t>
      </w:r>
      <w:r>
        <w:rPr>
          <w:rFonts w:ascii="Times" w:eastAsia="Times" w:hAnsi="Times" w:cs="Times"/>
          <w:i/>
          <w:color w:val="000000"/>
        </w:rPr>
        <w:t xml:space="preserve">Am J </w:t>
      </w:r>
      <w:proofErr w:type="spellStart"/>
      <w:r>
        <w:rPr>
          <w:rFonts w:ascii="Times" w:eastAsia="Times" w:hAnsi="Times" w:cs="Times"/>
          <w:i/>
          <w:color w:val="000000"/>
        </w:rPr>
        <w:t>Obstet</w:t>
      </w:r>
      <w:proofErr w:type="spellEnd"/>
      <w:r>
        <w:rPr>
          <w:rFonts w:ascii="Times" w:eastAsia="Times" w:hAnsi="Times" w:cs="Times"/>
          <w:i/>
          <w:color w:val="000000"/>
        </w:rPr>
        <w:t xml:space="preserve"> Gynecol</w:t>
      </w:r>
      <w:r>
        <w:rPr>
          <w:rFonts w:ascii="Times" w:eastAsia="Times" w:hAnsi="Times" w:cs="Times"/>
          <w:color w:val="000000"/>
        </w:rPr>
        <w:t>. 2010;202(2):161.e1-161.e11. doi:10.1016/j.ajog.2009.09.016</w:t>
      </w:r>
    </w:p>
    <w:p w14:paraId="07AEE4F9"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25. </w:t>
      </w:r>
      <w:r>
        <w:rPr>
          <w:rFonts w:ascii="Times" w:eastAsia="Times" w:hAnsi="Times" w:cs="Times"/>
          <w:color w:val="000000"/>
        </w:rPr>
        <w:tab/>
      </w:r>
      <w:proofErr w:type="spellStart"/>
      <w:r>
        <w:rPr>
          <w:rFonts w:ascii="Times" w:eastAsia="Times" w:hAnsi="Times" w:cs="Times"/>
          <w:color w:val="000000"/>
        </w:rPr>
        <w:t>Steyerberg</w:t>
      </w:r>
      <w:proofErr w:type="spellEnd"/>
      <w:r>
        <w:rPr>
          <w:rFonts w:ascii="Times" w:eastAsia="Times" w:hAnsi="Times" w:cs="Times"/>
          <w:color w:val="000000"/>
        </w:rPr>
        <w:t xml:space="preserve"> EW, Vickers AJ, Cook NR, et al. Assessing the performance of prediction models: A framework for traditional and novel measures. </w:t>
      </w:r>
      <w:r>
        <w:rPr>
          <w:rFonts w:ascii="Times" w:eastAsia="Times" w:hAnsi="Times" w:cs="Times"/>
          <w:i/>
          <w:color w:val="000000"/>
        </w:rPr>
        <w:t>Epidemiology</w:t>
      </w:r>
      <w:r>
        <w:rPr>
          <w:rFonts w:ascii="Times" w:eastAsia="Times" w:hAnsi="Times" w:cs="Times"/>
          <w:color w:val="000000"/>
        </w:rPr>
        <w:t>. 2010;21(1):128-138. doi:10.1097/EDE.0b013e3181c30fb2</w:t>
      </w:r>
    </w:p>
    <w:p w14:paraId="5B92E532"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26. </w:t>
      </w:r>
      <w:r>
        <w:rPr>
          <w:rFonts w:ascii="Times" w:eastAsia="Times" w:hAnsi="Times" w:cs="Times"/>
          <w:color w:val="000000"/>
        </w:rPr>
        <w:tab/>
        <w:t xml:space="preserve">Collins GS, </w:t>
      </w:r>
      <w:proofErr w:type="spellStart"/>
      <w:r>
        <w:rPr>
          <w:rFonts w:ascii="Times" w:eastAsia="Times" w:hAnsi="Times" w:cs="Times"/>
          <w:color w:val="000000"/>
        </w:rPr>
        <w:t>Reitsma</w:t>
      </w:r>
      <w:proofErr w:type="spellEnd"/>
      <w:r>
        <w:rPr>
          <w:rFonts w:ascii="Times" w:eastAsia="Times" w:hAnsi="Times" w:cs="Times"/>
          <w:color w:val="000000"/>
        </w:rPr>
        <w:t xml:space="preserve"> JB, Altman DG, Moons KGM. Transparent reporting of a multivariable prediction model for individual prognosis or diagnosis (TRIPOD): The tripod statement. </w:t>
      </w:r>
      <w:r>
        <w:rPr>
          <w:rFonts w:ascii="Times" w:eastAsia="Times" w:hAnsi="Times" w:cs="Times"/>
          <w:i/>
          <w:color w:val="000000"/>
        </w:rPr>
        <w:t xml:space="preserve">J Clin </w:t>
      </w:r>
      <w:proofErr w:type="spellStart"/>
      <w:r>
        <w:rPr>
          <w:rFonts w:ascii="Times" w:eastAsia="Times" w:hAnsi="Times" w:cs="Times"/>
          <w:i/>
          <w:color w:val="000000"/>
        </w:rPr>
        <w:t>Epidemiol</w:t>
      </w:r>
      <w:proofErr w:type="spellEnd"/>
      <w:r>
        <w:rPr>
          <w:rFonts w:ascii="Times" w:eastAsia="Times" w:hAnsi="Times" w:cs="Times"/>
          <w:color w:val="000000"/>
        </w:rPr>
        <w:t>. 2015;68(2):112-121. doi:10.1016/j.jclinepi.2014.11.010</w:t>
      </w:r>
    </w:p>
    <w:p w14:paraId="2D6F869B"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27. </w:t>
      </w:r>
      <w:r>
        <w:rPr>
          <w:rFonts w:ascii="Times" w:eastAsia="Times" w:hAnsi="Times" w:cs="Times"/>
          <w:color w:val="000000"/>
        </w:rPr>
        <w:tab/>
        <w:t xml:space="preserve">Moons KGM, Altman DG, </w:t>
      </w:r>
      <w:proofErr w:type="spellStart"/>
      <w:r>
        <w:rPr>
          <w:rFonts w:ascii="Times" w:eastAsia="Times" w:hAnsi="Times" w:cs="Times"/>
          <w:color w:val="000000"/>
        </w:rPr>
        <w:t>Reitsma</w:t>
      </w:r>
      <w:proofErr w:type="spellEnd"/>
      <w:r>
        <w:rPr>
          <w:rFonts w:ascii="Times" w:eastAsia="Times" w:hAnsi="Times" w:cs="Times"/>
          <w:color w:val="000000"/>
        </w:rPr>
        <w:t xml:space="preserve"> JB, et al. Transparent reporting of a multivariable prediction model for individual prognosis or diagnosis (TRIPOD): Explanation and elaboration. </w:t>
      </w:r>
      <w:r>
        <w:rPr>
          <w:rFonts w:ascii="Times" w:eastAsia="Times" w:hAnsi="Times" w:cs="Times"/>
          <w:i/>
          <w:color w:val="000000"/>
        </w:rPr>
        <w:t>Ann Intern Med</w:t>
      </w:r>
      <w:r>
        <w:rPr>
          <w:rFonts w:ascii="Times" w:eastAsia="Times" w:hAnsi="Times" w:cs="Times"/>
          <w:color w:val="000000"/>
        </w:rPr>
        <w:t>. 2015;162(1):W1-W73. doi:10.7326/M14-0698</w:t>
      </w:r>
    </w:p>
    <w:p w14:paraId="2A8BC12D"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28. </w:t>
      </w:r>
      <w:r>
        <w:rPr>
          <w:rFonts w:ascii="Times" w:eastAsia="Times" w:hAnsi="Times" w:cs="Times"/>
          <w:color w:val="000000"/>
        </w:rPr>
        <w:tab/>
        <w:t xml:space="preserve">Burton GJ, Redman CW, Roberts JM, Moffett A. Pre-eclampsia: pathophysiology and clinical implications. </w:t>
      </w:r>
      <w:r>
        <w:rPr>
          <w:rFonts w:ascii="Times" w:eastAsia="Times" w:hAnsi="Times" w:cs="Times"/>
          <w:i/>
          <w:color w:val="000000"/>
        </w:rPr>
        <w:t>BMJ</w:t>
      </w:r>
      <w:r>
        <w:rPr>
          <w:rFonts w:ascii="Times" w:eastAsia="Times" w:hAnsi="Times" w:cs="Times"/>
          <w:color w:val="000000"/>
        </w:rPr>
        <w:t>. 2019;366:1-15. doi:10.1136/bmj.l2381</w:t>
      </w:r>
    </w:p>
    <w:p w14:paraId="4E7E9F28"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29. </w:t>
      </w:r>
      <w:r>
        <w:rPr>
          <w:rFonts w:ascii="Times" w:eastAsia="Times" w:hAnsi="Times" w:cs="Times"/>
          <w:color w:val="000000"/>
        </w:rPr>
        <w:tab/>
        <w:t xml:space="preserve">Payne B, Hodgson S, Hutcheon JA, et al. Performance of the </w:t>
      </w:r>
      <w:proofErr w:type="spellStart"/>
      <w:r>
        <w:rPr>
          <w:rFonts w:ascii="Times" w:eastAsia="Times" w:hAnsi="Times" w:cs="Times"/>
          <w:color w:val="000000"/>
        </w:rPr>
        <w:t>fullPIERS</w:t>
      </w:r>
      <w:proofErr w:type="spellEnd"/>
      <w:r>
        <w:rPr>
          <w:rFonts w:ascii="Times" w:eastAsia="Times" w:hAnsi="Times" w:cs="Times"/>
          <w:color w:val="000000"/>
        </w:rPr>
        <w:t xml:space="preserve"> model in predicting adverse maternal outcomes in pre-eclampsia using patient data from the PIERS (Pre-eclampsia Integrated Estimate of </w:t>
      </w:r>
      <w:proofErr w:type="spellStart"/>
      <w:r>
        <w:rPr>
          <w:rFonts w:ascii="Times" w:eastAsia="Times" w:hAnsi="Times" w:cs="Times"/>
          <w:color w:val="000000"/>
        </w:rPr>
        <w:t>RiSk</w:t>
      </w:r>
      <w:proofErr w:type="spellEnd"/>
      <w:r>
        <w:rPr>
          <w:rFonts w:ascii="Times" w:eastAsia="Times" w:hAnsi="Times" w:cs="Times"/>
          <w:color w:val="000000"/>
        </w:rPr>
        <w:t xml:space="preserve">) cohort, collected on admission. </w:t>
      </w:r>
      <w:r>
        <w:rPr>
          <w:rFonts w:ascii="Times" w:eastAsia="Times" w:hAnsi="Times" w:cs="Times"/>
          <w:i/>
          <w:color w:val="000000"/>
        </w:rPr>
        <w:t xml:space="preserve">BJOG An Int J </w:t>
      </w:r>
      <w:proofErr w:type="spellStart"/>
      <w:r>
        <w:rPr>
          <w:rFonts w:ascii="Times" w:eastAsia="Times" w:hAnsi="Times" w:cs="Times"/>
          <w:i/>
          <w:color w:val="000000"/>
        </w:rPr>
        <w:t>Obstet</w:t>
      </w:r>
      <w:proofErr w:type="spellEnd"/>
      <w:r>
        <w:rPr>
          <w:rFonts w:ascii="Times" w:eastAsia="Times" w:hAnsi="Times" w:cs="Times"/>
          <w:i/>
          <w:color w:val="000000"/>
        </w:rPr>
        <w:t xml:space="preserve"> </w:t>
      </w:r>
      <w:proofErr w:type="spellStart"/>
      <w:r>
        <w:rPr>
          <w:rFonts w:ascii="Times" w:eastAsia="Times" w:hAnsi="Times" w:cs="Times"/>
          <w:i/>
          <w:color w:val="000000"/>
        </w:rPr>
        <w:t>Gynaecol</w:t>
      </w:r>
      <w:proofErr w:type="spellEnd"/>
      <w:r>
        <w:rPr>
          <w:rFonts w:ascii="Times" w:eastAsia="Times" w:hAnsi="Times" w:cs="Times"/>
          <w:color w:val="000000"/>
        </w:rPr>
        <w:t>. 2013;120(1):113-118. doi:10.1111/j.1471-0528.2012.03496.x</w:t>
      </w:r>
    </w:p>
    <w:p w14:paraId="6AACAA21"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30. </w:t>
      </w:r>
      <w:r>
        <w:rPr>
          <w:rFonts w:ascii="Times" w:eastAsia="Times" w:hAnsi="Times" w:cs="Times"/>
          <w:color w:val="000000"/>
        </w:rPr>
        <w:tab/>
        <w:t xml:space="preserve">Perry H, Binder J, Kalafat E, Jones S, </w:t>
      </w:r>
      <w:proofErr w:type="spellStart"/>
      <w:r>
        <w:rPr>
          <w:rFonts w:ascii="Times" w:eastAsia="Times" w:hAnsi="Times" w:cs="Times"/>
          <w:color w:val="000000"/>
        </w:rPr>
        <w:t>Thilaganathan</w:t>
      </w:r>
      <w:proofErr w:type="spellEnd"/>
      <w:r>
        <w:rPr>
          <w:rFonts w:ascii="Times" w:eastAsia="Times" w:hAnsi="Times" w:cs="Times"/>
          <w:color w:val="000000"/>
        </w:rPr>
        <w:t xml:space="preserve"> B, Khalil A. Angiogenic Marker Prognostic Models in Pregnant Women with Hypertension. </w:t>
      </w:r>
      <w:r>
        <w:rPr>
          <w:rFonts w:ascii="Times" w:eastAsia="Times" w:hAnsi="Times" w:cs="Times"/>
          <w:i/>
          <w:color w:val="000000"/>
        </w:rPr>
        <w:t>Hypertension</w:t>
      </w:r>
      <w:r>
        <w:rPr>
          <w:rFonts w:ascii="Times" w:eastAsia="Times" w:hAnsi="Times" w:cs="Times"/>
          <w:color w:val="000000"/>
        </w:rPr>
        <w:t>. 2020;1:755-</w:t>
      </w:r>
      <w:r>
        <w:rPr>
          <w:rFonts w:ascii="Times" w:eastAsia="Times" w:hAnsi="Times" w:cs="Times"/>
          <w:color w:val="000000"/>
        </w:rPr>
        <w:lastRenderedPageBreak/>
        <w:t>761. doi:10.1161/HYPERTENSIONAHA.119.13997</w:t>
      </w:r>
    </w:p>
    <w:p w14:paraId="7D07A3B4"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31. </w:t>
      </w:r>
      <w:r>
        <w:rPr>
          <w:rFonts w:ascii="Times" w:eastAsia="Times" w:hAnsi="Times" w:cs="Times"/>
          <w:color w:val="000000"/>
        </w:rPr>
        <w:tab/>
        <w:t xml:space="preserve">Saleh L, van den </w:t>
      </w:r>
      <w:proofErr w:type="spellStart"/>
      <w:r>
        <w:rPr>
          <w:rFonts w:ascii="Times" w:eastAsia="Times" w:hAnsi="Times" w:cs="Times"/>
          <w:color w:val="000000"/>
        </w:rPr>
        <w:t>Meiracker</w:t>
      </w:r>
      <w:proofErr w:type="spellEnd"/>
      <w:r>
        <w:rPr>
          <w:rFonts w:ascii="Times" w:eastAsia="Times" w:hAnsi="Times" w:cs="Times"/>
          <w:color w:val="000000"/>
        </w:rPr>
        <w:t xml:space="preserve"> AH, </w:t>
      </w:r>
      <w:proofErr w:type="spellStart"/>
      <w:r>
        <w:rPr>
          <w:rFonts w:ascii="Times" w:eastAsia="Times" w:hAnsi="Times" w:cs="Times"/>
          <w:color w:val="000000"/>
        </w:rPr>
        <w:t>Geensen</w:t>
      </w:r>
      <w:proofErr w:type="spellEnd"/>
      <w:r>
        <w:rPr>
          <w:rFonts w:ascii="Times" w:eastAsia="Times" w:hAnsi="Times" w:cs="Times"/>
          <w:color w:val="000000"/>
        </w:rPr>
        <w:t xml:space="preserve"> R, et al. Soluble </w:t>
      </w:r>
      <w:proofErr w:type="spellStart"/>
      <w:r>
        <w:rPr>
          <w:rFonts w:ascii="Times" w:eastAsia="Times" w:hAnsi="Times" w:cs="Times"/>
          <w:color w:val="000000"/>
        </w:rPr>
        <w:t>fms</w:t>
      </w:r>
      <w:proofErr w:type="spellEnd"/>
      <w:r>
        <w:rPr>
          <w:rFonts w:ascii="Times" w:eastAsia="Times" w:hAnsi="Times" w:cs="Times"/>
          <w:color w:val="000000"/>
        </w:rPr>
        <w:t xml:space="preserve">-like tyrosine kinase-1 and placental growth factor kinetics during and after pregnancy in women with suspected or confirmed pre-eclampsia. </w:t>
      </w:r>
      <w:r>
        <w:rPr>
          <w:rFonts w:ascii="Times" w:eastAsia="Times" w:hAnsi="Times" w:cs="Times"/>
          <w:i/>
          <w:color w:val="000000"/>
        </w:rPr>
        <w:t xml:space="preserve">Ultrasound </w:t>
      </w:r>
      <w:proofErr w:type="spellStart"/>
      <w:r>
        <w:rPr>
          <w:rFonts w:ascii="Times" w:eastAsia="Times" w:hAnsi="Times" w:cs="Times"/>
          <w:i/>
          <w:color w:val="000000"/>
        </w:rPr>
        <w:t>Obstet</w:t>
      </w:r>
      <w:proofErr w:type="spellEnd"/>
      <w:r>
        <w:rPr>
          <w:rFonts w:ascii="Times" w:eastAsia="Times" w:hAnsi="Times" w:cs="Times"/>
          <w:i/>
          <w:color w:val="000000"/>
        </w:rPr>
        <w:t xml:space="preserve"> Gynecol</w:t>
      </w:r>
      <w:r>
        <w:rPr>
          <w:rFonts w:ascii="Times" w:eastAsia="Times" w:hAnsi="Times" w:cs="Times"/>
          <w:color w:val="000000"/>
        </w:rPr>
        <w:t>. 2018;51(6):751-757. doi:10.1002/uog.17547</w:t>
      </w:r>
    </w:p>
    <w:p w14:paraId="292029ED"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32. </w:t>
      </w:r>
      <w:r>
        <w:rPr>
          <w:rFonts w:ascii="Times" w:eastAsia="Times" w:hAnsi="Times" w:cs="Times"/>
          <w:color w:val="000000"/>
        </w:rPr>
        <w:tab/>
      </w:r>
      <w:proofErr w:type="spellStart"/>
      <w:r>
        <w:rPr>
          <w:rFonts w:ascii="Times" w:eastAsia="Times" w:hAnsi="Times" w:cs="Times"/>
          <w:color w:val="000000"/>
        </w:rPr>
        <w:t>Lecarpentier</w:t>
      </w:r>
      <w:proofErr w:type="spellEnd"/>
      <w:r>
        <w:rPr>
          <w:rFonts w:ascii="Times" w:eastAsia="Times" w:hAnsi="Times" w:cs="Times"/>
          <w:color w:val="000000"/>
        </w:rPr>
        <w:t xml:space="preserve"> E, </w:t>
      </w:r>
      <w:proofErr w:type="spellStart"/>
      <w:r>
        <w:rPr>
          <w:rFonts w:ascii="Times" w:eastAsia="Times" w:hAnsi="Times" w:cs="Times"/>
          <w:color w:val="000000"/>
        </w:rPr>
        <w:t>Zsengellér</w:t>
      </w:r>
      <w:proofErr w:type="spellEnd"/>
      <w:r>
        <w:rPr>
          <w:rFonts w:ascii="Times" w:eastAsia="Times" w:hAnsi="Times" w:cs="Times"/>
          <w:color w:val="000000"/>
        </w:rPr>
        <w:t xml:space="preserve"> ZK, Salahuddin S, et al. Total Versus Free Placental Growth Factor Levels in the Pathogenesis of Preeclampsia. </w:t>
      </w:r>
      <w:r>
        <w:rPr>
          <w:rFonts w:ascii="Times" w:eastAsia="Times" w:hAnsi="Times" w:cs="Times"/>
          <w:i/>
          <w:color w:val="000000"/>
        </w:rPr>
        <w:t>Hypertension</w:t>
      </w:r>
      <w:r>
        <w:rPr>
          <w:rFonts w:ascii="Times" w:eastAsia="Times" w:hAnsi="Times" w:cs="Times"/>
          <w:color w:val="000000"/>
        </w:rPr>
        <w:t>. 2020. doi:10.1161/HYPERTENSIONAHA.120.15338</w:t>
      </w:r>
    </w:p>
    <w:p w14:paraId="51F5348D" w14:textId="77777777" w:rsidR="002D3616" w:rsidRDefault="003470FA">
      <w:pPr>
        <w:widowControl w:val="0"/>
        <w:spacing w:line="480" w:lineRule="auto"/>
        <w:ind w:left="640" w:hanging="640"/>
        <w:jc w:val="both"/>
        <w:rPr>
          <w:rFonts w:ascii="Times" w:eastAsia="Times" w:hAnsi="Times" w:cs="Times"/>
          <w:color w:val="000000"/>
        </w:rPr>
      </w:pPr>
      <w:r>
        <w:rPr>
          <w:rFonts w:ascii="Times" w:eastAsia="Times" w:hAnsi="Times" w:cs="Times"/>
          <w:color w:val="000000"/>
        </w:rPr>
        <w:t xml:space="preserve">33. </w:t>
      </w:r>
      <w:r>
        <w:rPr>
          <w:rFonts w:ascii="Times" w:eastAsia="Times" w:hAnsi="Times" w:cs="Times"/>
          <w:color w:val="000000"/>
        </w:rPr>
        <w:tab/>
        <w:t xml:space="preserve">Chappell LC, Duckworth S, Seed PT, et al. Diagnostic accuracy of placental growth factor in women with suspected preeclampsia: A prospective </w:t>
      </w:r>
      <w:proofErr w:type="spellStart"/>
      <w:r>
        <w:rPr>
          <w:rFonts w:ascii="Times" w:eastAsia="Times" w:hAnsi="Times" w:cs="Times"/>
          <w:color w:val="000000"/>
        </w:rPr>
        <w:t>multicenter</w:t>
      </w:r>
      <w:proofErr w:type="spellEnd"/>
      <w:r>
        <w:rPr>
          <w:rFonts w:ascii="Times" w:eastAsia="Times" w:hAnsi="Times" w:cs="Times"/>
          <w:color w:val="000000"/>
        </w:rPr>
        <w:t xml:space="preserve"> study. </w:t>
      </w:r>
      <w:r>
        <w:rPr>
          <w:rFonts w:ascii="Times" w:eastAsia="Times" w:hAnsi="Times" w:cs="Times"/>
          <w:i/>
          <w:color w:val="000000"/>
        </w:rPr>
        <w:t>Circulation</w:t>
      </w:r>
      <w:r>
        <w:rPr>
          <w:rFonts w:ascii="Times" w:eastAsia="Times" w:hAnsi="Times" w:cs="Times"/>
          <w:color w:val="000000"/>
        </w:rPr>
        <w:t>. 2013;128(19):2121-2131. doi:10.1161/CIRCULATIONAHA.113.003215</w:t>
      </w:r>
    </w:p>
    <w:p w14:paraId="46EDDBB1" w14:textId="77777777" w:rsidR="002D3616" w:rsidRDefault="002D3616">
      <w:pPr>
        <w:spacing w:line="480" w:lineRule="auto"/>
        <w:jc w:val="both"/>
        <w:rPr>
          <w:rFonts w:ascii="Times" w:eastAsia="Times" w:hAnsi="Times" w:cs="Times"/>
          <w:color w:val="000000"/>
        </w:rPr>
      </w:pPr>
    </w:p>
    <w:p w14:paraId="2E11E04E" w14:textId="77777777" w:rsidR="002D3616" w:rsidRDefault="002D3616">
      <w:pPr>
        <w:spacing w:line="480" w:lineRule="auto"/>
        <w:jc w:val="both"/>
        <w:rPr>
          <w:rFonts w:ascii="Times" w:eastAsia="Times" w:hAnsi="Times" w:cs="Times"/>
          <w:color w:val="000000"/>
        </w:rPr>
      </w:pPr>
    </w:p>
    <w:p w14:paraId="7ED6E35A" w14:textId="77777777" w:rsidR="002D3616" w:rsidRDefault="002D3616">
      <w:pPr>
        <w:spacing w:line="480" w:lineRule="auto"/>
        <w:jc w:val="both"/>
        <w:rPr>
          <w:rFonts w:ascii="Times" w:eastAsia="Times" w:hAnsi="Times" w:cs="Times"/>
          <w:color w:val="000000"/>
        </w:rPr>
      </w:pPr>
    </w:p>
    <w:p w14:paraId="14DCFDCB" w14:textId="77777777" w:rsidR="002D3616" w:rsidRDefault="002D3616">
      <w:pPr>
        <w:spacing w:line="480" w:lineRule="auto"/>
        <w:jc w:val="both"/>
        <w:rPr>
          <w:rFonts w:ascii="Times" w:eastAsia="Times" w:hAnsi="Times" w:cs="Times"/>
          <w:color w:val="000000"/>
        </w:rPr>
      </w:pPr>
    </w:p>
    <w:p w14:paraId="7D00FF3A" w14:textId="77777777" w:rsidR="002D3616" w:rsidRDefault="002D3616">
      <w:pPr>
        <w:spacing w:line="480" w:lineRule="auto"/>
        <w:jc w:val="both"/>
        <w:rPr>
          <w:rFonts w:ascii="Times" w:eastAsia="Times" w:hAnsi="Times" w:cs="Times"/>
          <w:color w:val="000000"/>
        </w:rPr>
      </w:pPr>
    </w:p>
    <w:p w14:paraId="2A4C53E6" w14:textId="77777777" w:rsidR="002D3616" w:rsidRDefault="002D3616">
      <w:pPr>
        <w:spacing w:line="480" w:lineRule="auto"/>
        <w:jc w:val="both"/>
        <w:rPr>
          <w:rFonts w:ascii="Times" w:eastAsia="Times" w:hAnsi="Times" w:cs="Times"/>
          <w:color w:val="000000"/>
        </w:rPr>
      </w:pPr>
    </w:p>
    <w:p w14:paraId="4D3B73E6" w14:textId="77777777" w:rsidR="002D3616" w:rsidRDefault="002D3616">
      <w:pPr>
        <w:spacing w:line="480" w:lineRule="auto"/>
        <w:jc w:val="both"/>
        <w:rPr>
          <w:rFonts w:ascii="Times" w:eastAsia="Times" w:hAnsi="Times" w:cs="Times"/>
          <w:color w:val="000000"/>
        </w:rPr>
      </w:pPr>
    </w:p>
    <w:p w14:paraId="7CDA141F" w14:textId="77777777" w:rsidR="002D3616" w:rsidRDefault="002D3616">
      <w:pPr>
        <w:spacing w:line="480" w:lineRule="auto"/>
        <w:jc w:val="both"/>
        <w:rPr>
          <w:rFonts w:ascii="Times" w:eastAsia="Times" w:hAnsi="Times" w:cs="Times"/>
          <w:color w:val="000000"/>
        </w:rPr>
      </w:pPr>
    </w:p>
    <w:sectPr w:rsidR="002D3616" w:rsidSect="00BA04C3">
      <w:footerReference w:type="default" r:id="rId16"/>
      <w:pgSz w:w="11906" w:h="16838"/>
      <w:pgMar w:top="1440" w:right="1440" w:bottom="1440" w:left="1440" w:header="708" w:footer="708"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FE6C5" w14:textId="77777777" w:rsidR="00B60356" w:rsidRDefault="00B60356">
      <w:r>
        <w:separator/>
      </w:r>
    </w:p>
  </w:endnote>
  <w:endnote w:type="continuationSeparator" w:id="0">
    <w:p w14:paraId="1A3A71DC" w14:textId="77777777" w:rsidR="00B60356" w:rsidRDefault="00B60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C5408" w14:textId="77777777" w:rsidR="000F5816" w:rsidRDefault="000F5816">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B00A726" w14:textId="77777777" w:rsidR="000F5816" w:rsidRDefault="000F5816">
    <w:pPr>
      <w:pBdr>
        <w:top w:val="none" w:sz="0" w:space="0" w:color="000000"/>
        <w:left w:val="none" w:sz="0" w:space="0" w:color="000000"/>
        <w:bottom w:val="none" w:sz="0" w:space="0" w:color="000000"/>
        <w:right w:val="none" w:sz="0" w:space="0" w:color="000000"/>
        <w:between w:val="none" w:sz="0" w:space="0" w:color="000000"/>
      </w:pBdr>
      <w:tabs>
        <w:tab w:val="center" w:pos="4513"/>
        <w:tab w:val="right" w:pos="9026"/>
      </w:tabs>
      <w:rPr>
        <w:rFonts w:ascii="Calibri" w:eastAsia="Calibri" w:hAnsi="Calibri" w:cs="Calibri"/>
        <w:color w:val="000000"/>
        <w:sz w:val="22"/>
        <w:szCs w:val="22"/>
      </w:rPr>
    </w:pPr>
  </w:p>
  <w:p w14:paraId="23193A8B" w14:textId="77777777" w:rsidR="000F5816" w:rsidRDefault="000F58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4793F" w14:textId="77777777" w:rsidR="00B60356" w:rsidRDefault="00B60356">
      <w:r>
        <w:separator/>
      </w:r>
    </w:p>
  </w:footnote>
  <w:footnote w:type="continuationSeparator" w:id="0">
    <w:p w14:paraId="36882965" w14:textId="77777777" w:rsidR="00B60356" w:rsidRDefault="00B60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C1853"/>
    <w:multiLevelType w:val="hybridMultilevel"/>
    <w:tmpl w:val="8B56F164"/>
    <w:lvl w:ilvl="0" w:tplc="8E0617E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FF6B2F"/>
    <w:multiLevelType w:val="hybridMultilevel"/>
    <w:tmpl w:val="5958FEF6"/>
    <w:lvl w:ilvl="0" w:tplc="67DAA3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0078756">
    <w:abstractNumId w:val="0"/>
  </w:num>
  <w:num w:numId="2" w16cid:durableId="609091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616"/>
    <w:rsid w:val="00000FB1"/>
    <w:rsid w:val="00056C9A"/>
    <w:rsid w:val="0005726E"/>
    <w:rsid w:val="000F5816"/>
    <w:rsid w:val="001B3F6E"/>
    <w:rsid w:val="001E0804"/>
    <w:rsid w:val="001F36D0"/>
    <w:rsid w:val="00234AB2"/>
    <w:rsid w:val="0024733D"/>
    <w:rsid w:val="00250AD5"/>
    <w:rsid w:val="002A6020"/>
    <w:rsid w:val="002B08B7"/>
    <w:rsid w:val="002D3616"/>
    <w:rsid w:val="003470FA"/>
    <w:rsid w:val="00355838"/>
    <w:rsid w:val="00361BDE"/>
    <w:rsid w:val="003B4EC2"/>
    <w:rsid w:val="003E2807"/>
    <w:rsid w:val="00422D5C"/>
    <w:rsid w:val="00463530"/>
    <w:rsid w:val="0046409F"/>
    <w:rsid w:val="004B6A72"/>
    <w:rsid w:val="004B76BC"/>
    <w:rsid w:val="004C734D"/>
    <w:rsid w:val="004D33C0"/>
    <w:rsid w:val="004F58D8"/>
    <w:rsid w:val="00520398"/>
    <w:rsid w:val="00570E45"/>
    <w:rsid w:val="00584050"/>
    <w:rsid w:val="00593E09"/>
    <w:rsid w:val="005D4D7C"/>
    <w:rsid w:val="005E596B"/>
    <w:rsid w:val="005F3500"/>
    <w:rsid w:val="00607075"/>
    <w:rsid w:val="006155E0"/>
    <w:rsid w:val="00620FFD"/>
    <w:rsid w:val="006231D5"/>
    <w:rsid w:val="006332A1"/>
    <w:rsid w:val="00640F97"/>
    <w:rsid w:val="0064123C"/>
    <w:rsid w:val="00657399"/>
    <w:rsid w:val="006A4B32"/>
    <w:rsid w:val="006B2310"/>
    <w:rsid w:val="006C7ECF"/>
    <w:rsid w:val="006D560F"/>
    <w:rsid w:val="006E37FE"/>
    <w:rsid w:val="00710546"/>
    <w:rsid w:val="00726CAC"/>
    <w:rsid w:val="00730209"/>
    <w:rsid w:val="00752FDB"/>
    <w:rsid w:val="00761C2C"/>
    <w:rsid w:val="007676E0"/>
    <w:rsid w:val="0078385A"/>
    <w:rsid w:val="007C47B7"/>
    <w:rsid w:val="007C6CD4"/>
    <w:rsid w:val="007E0CFA"/>
    <w:rsid w:val="00811D3D"/>
    <w:rsid w:val="008121AD"/>
    <w:rsid w:val="00817D5B"/>
    <w:rsid w:val="008353AB"/>
    <w:rsid w:val="00875933"/>
    <w:rsid w:val="008778C4"/>
    <w:rsid w:val="008F11C5"/>
    <w:rsid w:val="009A5D50"/>
    <w:rsid w:val="009E653A"/>
    <w:rsid w:val="00A16C6E"/>
    <w:rsid w:val="00A4202E"/>
    <w:rsid w:val="00A506FA"/>
    <w:rsid w:val="00A83E2C"/>
    <w:rsid w:val="00B00C22"/>
    <w:rsid w:val="00B04776"/>
    <w:rsid w:val="00B46A61"/>
    <w:rsid w:val="00B5300E"/>
    <w:rsid w:val="00B60356"/>
    <w:rsid w:val="00BA04C3"/>
    <w:rsid w:val="00BB41D2"/>
    <w:rsid w:val="00BE4F47"/>
    <w:rsid w:val="00C001D5"/>
    <w:rsid w:val="00C02324"/>
    <w:rsid w:val="00C1017E"/>
    <w:rsid w:val="00C244EB"/>
    <w:rsid w:val="00C60338"/>
    <w:rsid w:val="00C66388"/>
    <w:rsid w:val="00C84A24"/>
    <w:rsid w:val="00CA5286"/>
    <w:rsid w:val="00CC7764"/>
    <w:rsid w:val="00D02F65"/>
    <w:rsid w:val="00D313EB"/>
    <w:rsid w:val="00D31BEE"/>
    <w:rsid w:val="00D6759F"/>
    <w:rsid w:val="00DB6F2B"/>
    <w:rsid w:val="00DC76AF"/>
    <w:rsid w:val="00E2388A"/>
    <w:rsid w:val="00E508B1"/>
    <w:rsid w:val="00E87FAF"/>
    <w:rsid w:val="00EA5418"/>
    <w:rsid w:val="00EA73AC"/>
    <w:rsid w:val="00EB0A93"/>
    <w:rsid w:val="00EE1C4D"/>
    <w:rsid w:val="00EE5F48"/>
    <w:rsid w:val="00EE5FB5"/>
    <w:rsid w:val="00F16F50"/>
    <w:rsid w:val="00F52E6F"/>
    <w:rsid w:val="00F6167A"/>
    <w:rsid w:val="00F6216C"/>
    <w:rsid w:val="00F8577E"/>
    <w:rsid w:val="00FC2B35"/>
    <w:rsid w:val="00FF5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6935"/>
  <w15:docId w15:val="{47356CF1-F433-48FB-A368-51A1B10E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hd w:val="clear" w:color="auto" w:fill="FFFFFF"/>
      <w:spacing w:before="240" w:line="480" w:lineRule="auto"/>
      <w:jc w:val="both"/>
      <w:outlineLvl w:val="0"/>
    </w:pPr>
    <w:rPr>
      <w:b/>
      <w:bCs/>
      <w:color w:val="000000" w:themeColor="text1"/>
    </w:rPr>
  </w:style>
  <w:style w:type="paragraph" w:styleId="Heading2">
    <w:name w:val="heading 2"/>
    <w:basedOn w:val="Normal"/>
    <w:next w:val="Normal"/>
    <w:link w:val="Heading2Char"/>
    <w:uiPriority w:val="9"/>
    <w:semiHidden/>
    <w:unhideWhenUsed/>
    <w:qFormat/>
    <w:pPr>
      <w:spacing w:line="480" w:lineRule="auto"/>
      <w:jc w:val="both"/>
      <w:outlineLvl w:val="1"/>
    </w:pPr>
    <w:rPr>
      <w:b/>
      <w:bCs/>
    </w:rPr>
  </w:style>
  <w:style w:type="paragraph" w:styleId="Heading3">
    <w:name w:val="heading 3"/>
    <w:basedOn w:val="Normal"/>
    <w:next w:val="Normal"/>
    <w:link w:val="Heading3Char"/>
    <w:uiPriority w:val="9"/>
    <w:semiHidden/>
    <w:unhideWhenUsed/>
    <w:qFormat/>
    <w:pPr>
      <w:spacing w:line="480" w:lineRule="auto"/>
      <w:jc w:val="both"/>
      <w:outlineLvl w:val="2"/>
    </w:pPr>
    <w:rPr>
      <w:b/>
    </w:rPr>
  </w:style>
  <w:style w:type="paragraph" w:styleId="Heading4">
    <w:name w:val="heading 4"/>
    <w:basedOn w:val="Normal"/>
    <w:next w:val="Normal"/>
    <w:link w:val="Heading4Char"/>
    <w:uiPriority w:val="9"/>
    <w:semiHidden/>
    <w:unhideWhenUsed/>
    <w:qFormat/>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unhideWhenUsed/>
    <w:qFormat/>
    <w:rPr>
      <w:rFonts w:ascii="Segoe UI" w:eastAsiaTheme="minorHAnsi" w:hAnsi="Segoe UI" w:cs="Segoe UI"/>
      <w:sz w:val="18"/>
      <w:szCs w:val="18"/>
      <w:lang w:eastAsia="en-US"/>
    </w:rPr>
  </w:style>
  <w:style w:type="paragraph" w:styleId="Caption">
    <w:name w:val="caption"/>
    <w:basedOn w:val="Normal"/>
    <w:next w:val="Normal"/>
    <w:uiPriority w:val="35"/>
    <w:unhideWhenUsed/>
    <w:qFormat/>
    <w:pPr>
      <w:spacing w:after="200"/>
    </w:pPr>
    <w:rPr>
      <w:rFonts w:asciiTheme="minorHAnsi" w:eastAsiaTheme="minorHAnsi" w:hAnsiTheme="minorHAnsi" w:cstheme="minorBidi"/>
      <w:i/>
      <w:iCs/>
      <w:color w:val="44546A" w:themeColor="text2"/>
      <w:sz w:val="18"/>
      <w:szCs w:val="18"/>
      <w:lang w:eastAsia="en-US"/>
    </w:rPr>
  </w:style>
  <w:style w:type="paragraph" w:styleId="CommentText">
    <w:name w:val="annotation text"/>
    <w:basedOn w:val="Normal"/>
    <w:link w:val="CommentTextChar"/>
    <w:uiPriority w:val="99"/>
    <w:unhideWhenUsed/>
    <w:qFormat/>
    <w:pPr>
      <w:spacing w:after="160"/>
    </w:pPr>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513"/>
        <w:tab w:val="right" w:pos="9026"/>
      </w:tabs>
    </w:pPr>
    <w:rPr>
      <w:rFonts w:asciiTheme="minorHAnsi" w:eastAsiaTheme="minorHAnsi" w:hAnsiTheme="minorHAnsi" w:cstheme="minorBidi"/>
      <w:sz w:val="22"/>
      <w:szCs w:val="22"/>
      <w:lang w:eastAsia="en-US"/>
    </w:rPr>
  </w:style>
  <w:style w:type="paragraph" w:styleId="FootnoteText">
    <w:name w:val="footnote text"/>
    <w:basedOn w:val="Normal"/>
    <w:link w:val="FootnoteTextChar"/>
    <w:uiPriority w:val="99"/>
    <w:unhideWhenUsed/>
    <w:qFormat/>
    <w:rPr>
      <w:rFonts w:asciiTheme="minorHAnsi" w:eastAsiaTheme="minorHAnsi" w:hAnsiTheme="minorHAnsi" w:cstheme="minorBidi"/>
      <w:sz w:val="20"/>
      <w:szCs w:val="20"/>
      <w:lang w:eastAsia="en-US"/>
    </w:rPr>
  </w:style>
  <w:style w:type="paragraph" w:styleId="Header">
    <w:name w:val="header"/>
    <w:basedOn w:val="Normal"/>
    <w:link w:val="HeaderChar"/>
    <w:uiPriority w:val="99"/>
    <w:unhideWhenUsed/>
    <w:qFormat/>
    <w:pPr>
      <w:tabs>
        <w:tab w:val="center" w:pos="4513"/>
        <w:tab w:val="right" w:pos="9026"/>
      </w:tabs>
    </w:pPr>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unhideWhenUsed/>
    <w:rPr>
      <w:rFonts w:ascii="Consolas" w:eastAsiaTheme="minorHAnsi" w:hAnsi="Consolas" w:cstheme="minorBidi"/>
      <w:sz w:val="20"/>
      <w:szCs w:val="20"/>
      <w:lang w:eastAsia="en-US"/>
    </w:rPr>
  </w:style>
  <w:style w:type="paragraph" w:styleId="NormalWeb">
    <w:name w:val="Normal (Web)"/>
    <w:basedOn w:val="Normal"/>
    <w:uiPriority w:val="99"/>
    <w:unhideWhenUsed/>
    <w:qFormat/>
    <w:pPr>
      <w:spacing w:before="100" w:beforeAutospacing="1" w:after="100" w:afterAutospacing="1"/>
    </w:p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TableofFigures">
    <w:name w:val="table of figures"/>
    <w:basedOn w:val="Normal"/>
    <w:next w:val="Normal"/>
    <w:uiPriority w:val="99"/>
    <w:unhideWhenUsed/>
    <w:qFormat/>
    <w:pPr>
      <w:spacing w:line="259" w:lineRule="auto"/>
    </w:pPr>
    <w:rPr>
      <w:rFonts w:asciiTheme="minorHAnsi" w:eastAsiaTheme="minorHAnsi" w:hAnsiTheme="minorHAnsi" w:cstheme="minorBidi"/>
      <w:sz w:val="22"/>
      <w:szCs w:val="22"/>
      <w:lang w:eastAsia="en-US"/>
    </w:rPr>
  </w:style>
  <w:style w:type="paragraph" w:styleId="TOC1">
    <w:name w:val="toc 1"/>
    <w:basedOn w:val="Normal"/>
    <w:next w:val="Normal"/>
    <w:uiPriority w:val="39"/>
    <w:unhideWhenUsed/>
    <w:qFormat/>
    <w:pPr>
      <w:spacing w:after="100" w:line="259" w:lineRule="auto"/>
    </w:pPr>
    <w:rPr>
      <w:rFonts w:asciiTheme="minorHAnsi" w:eastAsiaTheme="minorHAnsi" w:hAnsiTheme="minorHAnsi" w:cstheme="minorBidi"/>
      <w:sz w:val="22"/>
      <w:szCs w:val="22"/>
      <w:lang w:eastAsia="en-US"/>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sz w:val="22"/>
      <w:szCs w:val="22"/>
      <w:lang w:val="en-US" w:eastAsia="en-US"/>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sz w:val="22"/>
      <w:szCs w:val="22"/>
      <w:lang w:val="en-US" w:eastAsia="en-US"/>
    </w:rPr>
  </w:style>
  <w:style w:type="character" w:styleId="CommentReference">
    <w:name w:val="annotation reference"/>
    <w:basedOn w:val="DefaultParagraphFont"/>
    <w:uiPriority w:val="99"/>
    <w:unhideWhenUsed/>
    <w:qFormat/>
    <w:rPr>
      <w:sz w:val="16"/>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qFormat/>
    <w:rPr>
      <w:color w:val="954F72" w:themeColor="followedHyperlink"/>
      <w:u w:val="single"/>
    </w:rPr>
  </w:style>
  <w:style w:type="character" w:styleId="FootnoteReference">
    <w:name w:val="footnote reference"/>
    <w:basedOn w:val="DefaultParagraphFont"/>
    <w:uiPriority w:val="99"/>
    <w:unhideWhenUsed/>
    <w:qFormat/>
    <w:rPr>
      <w:vertAlign w:val="superscript"/>
    </w:r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unhideWhenUsed/>
    <w:qFormat/>
  </w:style>
  <w:style w:type="character" w:styleId="Strong">
    <w:name w:val="Strong"/>
    <w:basedOn w:val="DefaultParagraphFont"/>
    <w:uiPriority w:val="22"/>
    <w:qFormat/>
    <w:rPr>
      <w:b/>
      <w:bCs/>
    </w:rPr>
  </w:style>
  <w:style w:type="table" w:styleId="TableGrid">
    <w:name w:val="Table Grid"/>
    <w:basedOn w:val="TableNormal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paragraph" w:customStyle="1" w:styleId="ListParagraph1">
    <w:name w:val="List Paragraph1"/>
    <w:basedOn w:val="Normal"/>
    <w:uiPriority w:val="34"/>
    <w:qFormat/>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PlainTable51">
    <w:name w:val="Plain Table 51"/>
    <w:basedOn w:val="TableNormal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1"/>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1"/>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extlayer--absolute">
    <w:name w:val="textlayer--absolute"/>
    <w:basedOn w:val="DefaultParagraphFont"/>
    <w:qFormat/>
  </w:style>
  <w:style w:type="character" w:customStyle="1" w:styleId="Heading2Char">
    <w:name w:val="Heading 2 Char"/>
    <w:basedOn w:val="DefaultParagraphFont"/>
    <w:link w:val="Heading2"/>
    <w:uiPriority w:val="9"/>
    <w:qFormat/>
    <w:rPr>
      <w:rFonts w:ascii="Times New Roman" w:hAnsi="Times New Roman" w:cs="Times New Roman"/>
      <w:b/>
      <w:bCs/>
      <w:sz w:val="24"/>
      <w:szCs w:val="24"/>
    </w:rPr>
  </w:style>
  <w:style w:type="character" w:customStyle="1" w:styleId="Heading1Char">
    <w:name w:val="Heading 1 Char"/>
    <w:basedOn w:val="DefaultParagraphFont"/>
    <w:link w:val="Heading1"/>
    <w:uiPriority w:val="9"/>
    <w:qFormat/>
    <w:rPr>
      <w:rFonts w:ascii="Times New Roman" w:eastAsiaTheme="majorEastAsia" w:hAnsi="Times New Roman" w:cs="Times New Roman"/>
      <w:b/>
      <w:bCs/>
      <w:color w:val="000000" w:themeColor="text1"/>
      <w:sz w:val="24"/>
      <w:szCs w:val="24"/>
      <w:shd w:val="clear" w:color="auto" w:fill="FFFFFF"/>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ing3Char">
    <w:name w:val="Heading 3 Char"/>
    <w:basedOn w:val="DefaultParagraphFont"/>
    <w:link w:val="Heading3"/>
    <w:uiPriority w:val="9"/>
    <w:qFormat/>
    <w:rPr>
      <w:rFonts w:ascii="Times New Roman" w:hAnsi="Times New Roman" w:cs="Times New Roman"/>
      <w:b/>
      <w:sz w:val="24"/>
      <w:szCs w:val="24"/>
    </w:rPr>
  </w:style>
  <w:style w:type="character" w:customStyle="1" w:styleId="UnresolvedMention1">
    <w:name w:val="Unresolved Mention1"/>
    <w:basedOn w:val="DefaultParagraphFont"/>
    <w:uiPriority w:val="99"/>
    <w:unhideWhenUsed/>
    <w:qFormat/>
    <w:rPr>
      <w:color w:val="605E5C"/>
      <w:shd w:val="clear" w:color="auto" w:fill="E1DFDD"/>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paragraph" w:customStyle="1" w:styleId="Default">
    <w:name w:val="Default"/>
    <w:qFormat/>
    <w:pPr>
      <w:autoSpaceDE w:val="0"/>
      <w:autoSpaceDN w:val="0"/>
      <w:adjustRightInd w:val="0"/>
    </w:pPr>
    <w:rPr>
      <w:rFonts w:eastAsiaTheme="minorEastAsia"/>
      <w:color w:val="00000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gd15mcfceub">
    <w:name w:val="gd15mcfceub"/>
    <w:basedOn w:val="DefaultParagraphFont"/>
    <w:qFormat/>
  </w:style>
  <w:style w:type="character" w:customStyle="1" w:styleId="FootnoteTextChar">
    <w:name w:val="Footnote Text Char"/>
    <w:basedOn w:val="DefaultParagraphFont"/>
    <w:link w:val="FootnoteText"/>
    <w:uiPriority w:val="99"/>
    <w:semiHidden/>
    <w:rPr>
      <w:sz w:val="20"/>
      <w:szCs w:val="20"/>
    </w:rPr>
  </w:style>
  <w:style w:type="paragraph" w:customStyle="1" w:styleId="NoSpacing1">
    <w:name w:val="No Spacing1"/>
    <w:basedOn w:val="Heading4"/>
    <w:link w:val="NoSpacingChar"/>
    <w:uiPriority w:val="1"/>
    <w:qFormat/>
    <w:pPr>
      <w:shd w:val="clear" w:color="auto" w:fill="FFFFFF"/>
      <w:spacing w:before="240" w:line="480" w:lineRule="auto"/>
      <w:jc w:val="both"/>
    </w:pPr>
    <w:rPr>
      <w:rFonts w:ascii="Times New Roman" w:hAnsi="Times New Roman" w:cs="Times New Roman"/>
      <w:b/>
      <w:bCs/>
      <w:i w:val="0"/>
      <w:iCs w:val="0"/>
      <w:color w:val="000000" w:themeColor="text1"/>
      <w:sz w:val="24"/>
      <w:szCs w:val="24"/>
    </w:rPr>
  </w:style>
  <w:style w:type="character" w:customStyle="1" w:styleId="NoSpacingChar">
    <w:name w:val="No Spacing Char"/>
    <w:basedOn w:val="DefaultParagraphFont"/>
    <w:link w:val="NoSpacing1"/>
    <w:uiPriority w:val="1"/>
    <w:rPr>
      <w:rFonts w:ascii="Times New Roman" w:eastAsiaTheme="majorEastAsia" w:hAnsi="Times New Roman" w:cs="Times New Roman"/>
      <w:b/>
      <w:bCs/>
      <w:color w:val="000000" w:themeColor="text1"/>
      <w:sz w:val="24"/>
      <w:szCs w:val="24"/>
      <w:shd w:val="clear" w:color="auto" w:fill="FFFFFF"/>
    </w:rPr>
  </w:style>
  <w:style w:type="character" w:customStyle="1" w:styleId="HTMLPreformattedChar">
    <w:name w:val="HTML Preformatted Char"/>
    <w:basedOn w:val="DefaultParagraphFont"/>
    <w:link w:val="HTMLPreformatted"/>
    <w:uiPriority w:val="99"/>
    <w:qFormat/>
    <w:rPr>
      <w:rFonts w:ascii="Consolas" w:hAnsi="Consolas"/>
      <w:sz w:val="20"/>
      <w:szCs w:val="20"/>
    </w:rPr>
  </w:style>
  <w:style w:type="character" w:customStyle="1" w:styleId="ej-keyword">
    <w:name w:val="ej-keyword"/>
    <w:basedOn w:val="DefaultParagraphFont"/>
    <w:qFormat/>
  </w:style>
  <w:style w:type="character" w:customStyle="1" w:styleId="gd15mcfckub">
    <w:name w:val="gd15mcfckub"/>
    <w:basedOn w:val="DefaultParagraphFont"/>
    <w:qFormat/>
  </w:style>
  <w:style w:type="character" w:customStyle="1" w:styleId="gd15mcfcktb">
    <w:name w:val="gd15mcfcktb"/>
    <w:basedOn w:val="DefaultParagraphFont"/>
    <w:qFormat/>
  </w:style>
  <w:style w:type="paragraph" w:customStyle="1" w:styleId="numbered-paragraph">
    <w:name w:val="numbered-paragraph"/>
    <w:basedOn w:val="Normal"/>
    <w:qFormat/>
    <w:pPr>
      <w:spacing w:before="100" w:beforeAutospacing="1" w:after="100" w:afterAutospacing="1"/>
    </w:pPr>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UnresolvedMention2">
    <w:name w:val="Unresolved Mention2"/>
    <w:basedOn w:val="DefaultParagraphFont"/>
    <w:uiPriority w:val="99"/>
    <w:unhideWhenUsed/>
    <w:qFormat/>
    <w:rPr>
      <w:color w:val="605E5C"/>
      <w:shd w:val="clear" w:color="auto" w:fill="E1DFDD"/>
    </w:rPr>
  </w:style>
  <w:style w:type="paragraph" w:customStyle="1" w:styleId="Style1">
    <w:name w:val="Style1"/>
    <w:basedOn w:val="Heading1"/>
    <w:qFormat/>
    <w:pPr>
      <w:shd w:val="clear" w:color="auto" w:fill="auto"/>
      <w:spacing w:before="480" w:line="276" w:lineRule="auto"/>
      <w:jc w:val="left"/>
    </w:pPr>
    <w:rPr>
      <w:rFonts w:asciiTheme="majorHAnsi" w:hAnsiTheme="majorHAnsi" w:cstheme="majorBidi"/>
      <w:color w:val="auto"/>
      <w:sz w:val="28"/>
      <w:szCs w:val="28"/>
    </w:rPr>
  </w:style>
  <w:style w:type="paragraph" w:customStyle="1" w:styleId="Revision1">
    <w:name w:val="Revision1"/>
    <w:hidden/>
    <w:uiPriority w:val="99"/>
    <w:semiHidden/>
    <w:qFormat/>
    <w:rPr>
      <w:rFonts w:asciiTheme="minorHAnsi" w:eastAsiaTheme="minorEastAsia" w:hAnsiTheme="minorHAnsi" w:cstheme="minorBidi"/>
    </w:rPr>
  </w:style>
  <w:style w:type="character" w:customStyle="1" w:styleId="UnresolvedMention3">
    <w:name w:val="Unresolved Mention3"/>
    <w:basedOn w:val="DefaultParagraphFont"/>
    <w:uiPriority w:val="99"/>
    <w:unhideWhenUsed/>
    <w:qFormat/>
    <w:rPr>
      <w:color w:val="605E5C"/>
      <w:shd w:val="clear" w:color="auto" w:fill="E1DFDD"/>
    </w:rPr>
  </w:style>
  <w:style w:type="character" w:customStyle="1" w:styleId="docsum-pmid">
    <w:name w:val="docsum-pmid"/>
    <w:basedOn w:val="DefaultParagraphFont"/>
    <w:qFormat/>
  </w:style>
  <w:style w:type="paragraph" w:customStyle="1" w:styleId="Body">
    <w:name w:val="Body"/>
    <w:qFormat/>
    <w:rPr>
      <w:rFonts w:eastAsia="Arial Unicode MS" w:hAnsi="Arial Unicode MS" w:cs="Arial Unicode MS"/>
      <w:color w:val="000000"/>
      <w:u w:color="000000"/>
    </w:rPr>
  </w:style>
  <w:style w:type="table" w:customStyle="1" w:styleId="Style71">
    <w:name w:val="_Style 71"/>
    <w:basedOn w:val="TableNormal1"/>
    <w:qFormat/>
    <w:tblPr>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Style72">
    <w:name w:val="_Style 72"/>
    <w:basedOn w:val="TableNormal1"/>
    <w:qFormat/>
    <w:tblPr>
      <w:tblCellMar>
        <w:left w:w="108" w:type="dxa"/>
        <w:right w:w="108" w:type="dxa"/>
      </w:tblCellMar>
    </w:tblPr>
  </w:style>
  <w:style w:type="table" w:customStyle="1" w:styleId="a">
    <w:basedOn w:val="TableNormal"/>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paragraph" w:styleId="Revision">
    <w:name w:val="Revision"/>
    <w:hidden/>
    <w:uiPriority w:val="99"/>
    <w:semiHidden/>
    <w:rsid w:val="000939FE"/>
    <w:rPr>
      <w:szCs w:val="21"/>
    </w:rPr>
  </w:style>
  <w:style w:type="table" w:styleId="ListTable2">
    <w:name w:val="List Table 2"/>
    <w:basedOn w:val="TableNormal"/>
    <w:uiPriority w:val="47"/>
    <w:rsid w:val="001B42C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
    <w:name w:val="Grid Table 6 Colorful"/>
    <w:basedOn w:val="TableNormal"/>
    <w:uiPriority w:val="51"/>
    <w:rsid w:val="001B42C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
    <w:name w:val="List Table 6 Colorful"/>
    <w:basedOn w:val="TableNormal"/>
    <w:uiPriority w:val="51"/>
    <w:rsid w:val="001B42C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F5FA3"/>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3">
    <w:basedOn w:val="TableNormal"/>
    <w:tblPr>
      <w:tblStyleRowBandSize w:val="1"/>
      <w:tblStyleColBandSize w:val="1"/>
    </w:tblPr>
  </w:style>
  <w:style w:type="table" w:customStyle="1" w:styleId="a4">
    <w:basedOn w:val="TableNormal"/>
    <w:rPr>
      <w:color w:val="000000"/>
    </w:rPr>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CC7764"/>
    <w:rPr>
      <w:color w:val="808080"/>
    </w:rPr>
  </w:style>
  <w:style w:type="character" w:styleId="UnresolvedMention">
    <w:name w:val="Unresolved Mention"/>
    <w:basedOn w:val="DefaultParagraphFont"/>
    <w:uiPriority w:val="99"/>
    <w:semiHidden/>
    <w:unhideWhenUsed/>
    <w:rsid w:val="00C00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424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medicine-and-dentistry/placental-growth-factor" TargetMode="External"/><Relationship Id="rId5" Type="http://schemas.openxmlformats.org/officeDocument/2006/relationships/settings" Target="settings.xml"/><Relationship Id="rId15" Type="http://schemas.openxmlformats.org/officeDocument/2006/relationships/hyperlink" Target="http://www.isrctn.com/" TargetMode="External"/><Relationship Id="rId10" Type="http://schemas.openxmlformats.org/officeDocument/2006/relationships/hyperlink" Target="https://www.sciencedirect.com/topics/medicine-and-dentistry/tyrosine" TargetMode="External"/><Relationship Id="rId4" Type="http://schemas.openxmlformats.org/officeDocument/2006/relationships/styles" Target="styles.xml"/><Relationship Id="rId9" Type="http://schemas.openxmlformats.org/officeDocument/2006/relationships/hyperlink" Target="mailto:Eric.Ohuma@lshtm.ac.uk" TargetMode="External"/><Relationship Id="rId14" Type="http://schemas.openxmlformats.org/officeDocument/2006/relationships/hyperlink" Target="http://www.isrct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E5ITl6EhMUzE92Y1Bh2kHYJ1DA==">AMUW2mXWa6ymw3tmnyhttHUrmWOtbtVsJhHMVbk3s+v/jrjrzVEf8qSwideSxm6QPIaVLn+87M55Fs7LtGWoW06PEuGy19XOwL/VYDmlsBHLVg5QOoG9P88zJAO72RmXycPC27EpmeRPDllfFVTK/FuJ3jFHfPTOf0gA2rlMuuK5MjNmSiMrCMRoLn2+lXzM9NODEdtHbDp0PB8/ur4bxfJiu9vylUXJEdblTgB8mdT71ZNfF1O5Ln0Fa97XriWv+TW01ol8RZLXCJUDmVOc9J9wpuMzVwa/OVbEpSs7yYJ2v3xRYNYRAD1mtql8mGz1os4+sWewGySZCzaXZtjOtGPETN44E3brNY/74Nf6mDLE2V5HLDPsTZyj6J1Wxa6KO4hkE7rN73w39urjnrCWrA4vDG11GTfiJ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78C8D92-7FBE-4B05-93D5-9D805C20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23</Pages>
  <Words>4732</Words>
  <Characters>26976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Meron Kifle</dc:creator>
  <cp:lastModifiedBy>Meron Kifle</cp:lastModifiedBy>
  <cp:revision>7</cp:revision>
  <dcterms:created xsi:type="dcterms:W3CDTF">2022-04-19T11:42:00Z</dcterms:created>
  <dcterms:modified xsi:type="dcterms:W3CDTF">2022-04-23T14:03:00Z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e2fd62c0-455a-3bcf-94a0-fa2c7f106636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KSOProductBuildVer">
    <vt:lpwstr>1033-3.2.0.6370</vt:lpwstr>
  </property>
</Properties>
</file>