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13" w:rsidRPr="006269CE" w:rsidRDefault="008B0113" w:rsidP="008B0113">
      <w:pPr>
        <w:jc w:val="both"/>
        <w:rPr>
          <w:b/>
        </w:rPr>
      </w:pPr>
      <w:bookmarkStart w:id="0" w:name="_GoBack"/>
      <w:bookmarkEnd w:id="0"/>
      <w:r w:rsidRPr="006269CE">
        <w:rPr>
          <w:b/>
        </w:rPr>
        <w:t>NRT detection using the same model used for monitoring</w:t>
      </w:r>
    </w:p>
    <w:p w:rsidR="008B0113" w:rsidRDefault="008B0113" w:rsidP="008B0113">
      <w:pPr>
        <w:jc w:val="both"/>
      </w:pPr>
      <w:r>
        <w:t>We have n full solar year</w:t>
      </w:r>
      <w:r w:rsidR="006269CE">
        <w:t>s</w:t>
      </w:r>
      <w:r>
        <w:t xml:space="preserve"> + the current one. The idea is that at the beginning of the current year we have </w:t>
      </w:r>
      <w:r w:rsidR="006269CE">
        <w:t xml:space="preserve">of course </w:t>
      </w:r>
      <w:r>
        <w:t xml:space="preserve">no information </w:t>
      </w:r>
      <w:r w:rsidR="006269CE">
        <w:t>but</w:t>
      </w:r>
      <w:r>
        <w:t xml:space="preserve"> the expectation that it will follow the “average year”. So we have an expectation that sets the prior knowl</w:t>
      </w:r>
      <w:r w:rsidR="00886900">
        <w:t>edge of model parameters (set</w:t>
      </w:r>
      <w:r>
        <w:t xml:space="preserve"> by taking the average of the model parameters over n years </w:t>
      </w:r>
      <w:r w:rsidR="0022229C">
        <w:t>so that I get also a measure of SD</w:t>
      </w:r>
      <w:r>
        <w:t>)</w:t>
      </w:r>
      <w:r w:rsidR="00886900">
        <w:t>.</w:t>
      </w:r>
    </w:p>
    <w:p w:rsidR="00886900" w:rsidRDefault="00886900" w:rsidP="008B0113">
      <w:pPr>
        <w:jc w:val="both"/>
      </w:pPr>
      <w:r>
        <w:t xml:space="preserve">Once observations are coming we optimize the </w:t>
      </w:r>
      <w:proofErr w:type="spellStart"/>
      <w:r>
        <w:t>pdhtf</w:t>
      </w:r>
      <w:proofErr w:type="spellEnd"/>
      <w:r>
        <w:t xml:space="preserve"> over the available observations and taking into account our prior knowledge with the following cost function:</w:t>
      </w:r>
    </w:p>
    <w:p w:rsidR="00886900" w:rsidRDefault="0050796A" w:rsidP="008B0113">
      <w:pPr>
        <w:jc w:val="both"/>
      </w:pPr>
      <m:oMathPara>
        <m:oMath>
          <m:r>
            <w:rPr>
              <w:rFonts w:ascii="Cambria Math" w:hAnsi="Cambria Math"/>
            </w:rPr>
            <m:t>J(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d=1</m:t>
                  </m:r>
                </m:sub>
                <m:sup>
                  <m:r>
                    <w:rPr>
                      <w:rFonts w:ascii="Cambria Math" w:hAnsi="Cambria Math"/>
                    </w:rPr>
                    <m:t>cd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mod,d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obs,d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obs,d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prior,i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sup, 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inf,i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886900" w:rsidRDefault="0022229C" w:rsidP="008B0113">
      <w:pPr>
        <w:jc w:val="both"/>
      </w:pPr>
      <w:r>
        <w:t xml:space="preserve">Where </w:t>
      </w:r>
      <w:r w:rsidRPr="0022229C">
        <w:rPr>
          <w:i/>
        </w:rPr>
        <w:t>cd</w:t>
      </w:r>
      <w:r>
        <w:t xml:space="preserve"> is the current decade, </w:t>
      </w:r>
      <w:proofErr w:type="spellStart"/>
      <w:r w:rsidRPr="0022229C">
        <w:rPr>
          <w:i/>
        </w:rPr>
        <w:t>np</w:t>
      </w:r>
      <w:proofErr w:type="spellEnd"/>
      <w:r>
        <w:t xml:space="preserve"> is </w:t>
      </w:r>
      <w:r w:rsidR="00EA2FAA">
        <w:t xml:space="preserve">the </w:t>
      </w:r>
      <w:r>
        <w:t xml:space="preserve">number of parameters, </w:t>
      </w:r>
      <w:proofErr w:type="spellStart"/>
      <w:r w:rsidRPr="0022229C">
        <w:rPr>
          <w:i/>
        </w:rPr>
        <w:t>p</w:t>
      </w:r>
      <w:r w:rsidRPr="0022229C">
        <w:rPr>
          <w:i/>
          <w:vertAlign w:val="subscript"/>
        </w:rPr>
        <w:t>sup</w:t>
      </w:r>
      <w:proofErr w:type="spellEnd"/>
      <w:r>
        <w:t xml:space="preserve"> and </w:t>
      </w:r>
      <w:proofErr w:type="spellStart"/>
      <w:r w:rsidRPr="0022229C">
        <w:rPr>
          <w:i/>
        </w:rPr>
        <w:t>p</w:t>
      </w:r>
      <w:r w:rsidRPr="0022229C">
        <w:rPr>
          <w:i/>
          <w:vertAlign w:val="subscript"/>
        </w:rPr>
        <w:t>inf</w:t>
      </w:r>
      <w:proofErr w:type="spellEnd"/>
      <w:r>
        <w:t xml:space="preserve"> are the upper and lower boundaries of the parameters. Denominators </w:t>
      </w:r>
      <w:r w:rsidR="00763199">
        <w:t>are placed to normalize the difference at the numerator.</w:t>
      </w:r>
    </w:p>
    <w:p w:rsidR="00763199" w:rsidRDefault="00763199" w:rsidP="008B0113">
      <w:pPr>
        <w:jc w:val="both"/>
      </w:pPr>
      <w:r>
        <w:t xml:space="preserve">The first term of the equation will increase its weight as we get more data for the current year. At the beginning of the year we have cd &lt; </w:t>
      </w:r>
      <w:proofErr w:type="spellStart"/>
      <w:r>
        <w:t>np</w:t>
      </w:r>
      <w:proofErr w:type="spellEnd"/>
      <w:r>
        <w:t>, the problem is ill posed and it is solved thanks to the prior knowledge.</w:t>
      </w:r>
    </w:p>
    <w:p w:rsidR="00763199" w:rsidRDefault="006269CE" w:rsidP="008B0113">
      <w:pPr>
        <w:jc w:val="both"/>
      </w:pPr>
      <w:r>
        <w:t>Can we think about a linear (or exponential decay) weighting of the two terms based on the % of completed cycle to reinforce our understanding that when we have more data we should trust more the observations? I mean something like this:</w:t>
      </w:r>
    </w:p>
    <w:p w:rsidR="006269CE" w:rsidRPr="006269CE" w:rsidRDefault="006269CE" w:rsidP="008B011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d=1</m:t>
                  </m:r>
                </m:sub>
                <m:sup>
                  <m:r>
                    <w:rPr>
                      <w:rFonts w:ascii="Cambria Math" w:hAnsi="Cambria Math"/>
                    </w:rPr>
                    <m:t>cd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mod,d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obs,d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obs,d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 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SD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prior,i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sup, 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inf,i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6269CE" w:rsidRDefault="006269CE" w:rsidP="008B0113">
      <w:pPr>
        <w:jc w:val="both"/>
        <w:rPr>
          <w:rFonts w:eastAsiaTheme="minorEastAsia" w:cstheme="minorHAnsi"/>
        </w:rPr>
      </w:pPr>
      <w:r>
        <w:rPr>
          <w:rFonts w:eastAsiaTheme="minorEastAsia"/>
        </w:rPr>
        <w:t xml:space="preserve">Where </w:t>
      </w:r>
      <w:r>
        <w:rPr>
          <w:rFonts w:eastAsiaTheme="minorEastAsia" w:cstheme="minorHAnsi"/>
        </w:rPr>
        <w:t>α</w:t>
      </w:r>
      <w:proofErr w:type="gramStart"/>
      <w:r>
        <w:rPr>
          <w:rFonts w:eastAsiaTheme="minorEastAsia"/>
        </w:rPr>
        <w:t>=(</w:t>
      </w:r>
      <w:proofErr w:type="gramEnd"/>
      <w:r>
        <w:rPr>
          <w:rFonts w:eastAsiaTheme="minorEastAsia"/>
        </w:rPr>
        <w:t xml:space="preserve">cd/length of the season). We could also divide the second term in two terms (first one with the 4 parameters describing the parameters growing hyper tangent and the second one describing the parameters of the decay phase). In this case we could use </w:t>
      </w:r>
      <w:proofErr w:type="gramStart"/>
      <w:r>
        <w:rPr>
          <w:rFonts w:eastAsiaTheme="minorEastAsia"/>
        </w:rPr>
        <w:t>an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α</w:t>
      </w:r>
      <w:r w:rsidRPr="002032B4"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 xml:space="preserve"> and a </w:t>
      </w:r>
      <w:r>
        <w:rPr>
          <w:rFonts w:eastAsiaTheme="minorEastAsia" w:cstheme="minorHAnsi"/>
        </w:rPr>
        <w:t>α</w:t>
      </w:r>
      <w:r w:rsidRPr="002032B4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 xml:space="preserve"> based on the two phases (growth and decay).</w:t>
      </w:r>
    </w:p>
    <w:sectPr w:rsidR="006269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94003"/>
    <w:multiLevelType w:val="hybridMultilevel"/>
    <w:tmpl w:val="B3ECDF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16B0E"/>
    <w:multiLevelType w:val="hybridMultilevel"/>
    <w:tmpl w:val="1E946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210B0"/>
    <w:multiLevelType w:val="hybridMultilevel"/>
    <w:tmpl w:val="AF5CD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8434C"/>
    <w:multiLevelType w:val="hybridMultilevel"/>
    <w:tmpl w:val="83D648E6"/>
    <w:lvl w:ilvl="0" w:tplc="9E98A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A1A9B"/>
    <w:multiLevelType w:val="hybridMultilevel"/>
    <w:tmpl w:val="EFC871E4"/>
    <w:lvl w:ilvl="0" w:tplc="B0ECF7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03C30"/>
    <w:multiLevelType w:val="hybridMultilevel"/>
    <w:tmpl w:val="F45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47848"/>
    <w:rsid w:val="000872B3"/>
    <w:rsid w:val="000A3613"/>
    <w:rsid w:val="00115221"/>
    <w:rsid w:val="001C3904"/>
    <w:rsid w:val="001F3412"/>
    <w:rsid w:val="002032B4"/>
    <w:rsid w:val="0022229C"/>
    <w:rsid w:val="00245E3B"/>
    <w:rsid w:val="00247815"/>
    <w:rsid w:val="002606F6"/>
    <w:rsid w:val="00270F36"/>
    <w:rsid w:val="002A1870"/>
    <w:rsid w:val="002B2D5E"/>
    <w:rsid w:val="002B69A9"/>
    <w:rsid w:val="00332689"/>
    <w:rsid w:val="004134B1"/>
    <w:rsid w:val="00482280"/>
    <w:rsid w:val="004A329E"/>
    <w:rsid w:val="004D2DEE"/>
    <w:rsid w:val="004E25F7"/>
    <w:rsid w:val="004E28E3"/>
    <w:rsid w:val="004F07DB"/>
    <w:rsid w:val="0050796A"/>
    <w:rsid w:val="0057081E"/>
    <w:rsid w:val="00577014"/>
    <w:rsid w:val="005A530A"/>
    <w:rsid w:val="005D5FC9"/>
    <w:rsid w:val="005E344B"/>
    <w:rsid w:val="00603F90"/>
    <w:rsid w:val="006269CE"/>
    <w:rsid w:val="00630D86"/>
    <w:rsid w:val="00647FF0"/>
    <w:rsid w:val="0067596E"/>
    <w:rsid w:val="006B1A0E"/>
    <w:rsid w:val="006B3658"/>
    <w:rsid w:val="006D5EF2"/>
    <w:rsid w:val="00716D81"/>
    <w:rsid w:val="00755C80"/>
    <w:rsid w:val="00763199"/>
    <w:rsid w:val="007710DB"/>
    <w:rsid w:val="007D03BB"/>
    <w:rsid w:val="007D4B0F"/>
    <w:rsid w:val="007D79C9"/>
    <w:rsid w:val="008012F4"/>
    <w:rsid w:val="00842C60"/>
    <w:rsid w:val="00871C2F"/>
    <w:rsid w:val="00886900"/>
    <w:rsid w:val="008A7231"/>
    <w:rsid w:val="008B0113"/>
    <w:rsid w:val="008D03B9"/>
    <w:rsid w:val="009015A3"/>
    <w:rsid w:val="00911C16"/>
    <w:rsid w:val="00927000"/>
    <w:rsid w:val="00934003"/>
    <w:rsid w:val="00937424"/>
    <w:rsid w:val="00956C24"/>
    <w:rsid w:val="0097382E"/>
    <w:rsid w:val="00981C2E"/>
    <w:rsid w:val="00A240F1"/>
    <w:rsid w:val="00A41B30"/>
    <w:rsid w:val="00A90FB9"/>
    <w:rsid w:val="00B679F3"/>
    <w:rsid w:val="00BA1B85"/>
    <w:rsid w:val="00BB66C3"/>
    <w:rsid w:val="00BC7EC9"/>
    <w:rsid w:val="00C1475E"/>
    <w:rsid w:val="00C378C5"/>
    <w:rsid w:val="00C56E49"/>
    <w:rsid w:val="00C6393C"/>
    <w:rsid w:val="00C76334"/>
    <w:rsid w:val="00C8420D"/>
    <w:rsid w:val="00CA52AB"/>
    <w:rsid w:val="00D0690A"/>
    <w:rsid w:val="00DA3C5D"/>
    <w:rsid w:val="00DA4EF9"/>
    <w:rsid w:val="00DC2C08"/>
    <w:rsid w:val="00E030F6"/>
    <w:rsid w:val="00E03A90"/>
    <w:rsid w:val="00E1637C"/>
    <w:rsid w:val="00E47ABD"/>
    <w:rsid w:val="00EA2FAA"/>
    <w:rsid w:val="00EA7686"/>
    <w:rsid w:val="00EB49BD"/>
    <w:rsid w:val="00EE011E"/>
    <w:rsid w:val="00F107B6"/>
    <w:rsid w:val="00F24B3D"/>
    <w:rsid w:val="00F83E69"/>
    <w:rsid w:val="00FB7BD2"/>
    <w:rsid w:val="00FC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C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C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5C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69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C2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F0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30F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C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C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5C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69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6C2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F0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30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Meroni</dc:creator>
  <cp:lastModifiedBy>Michele Meroni</cp:lastModifiedBy>
  <cp:revision>3</cp:revision>
  <cp:lastPrinted>2011-04-11T10:14:00Z</cp:lastPrinted>
  <dcterms:created xsi:type="dcterms:W3CDTF">2011-04-12T10:05:00Z</dcterms:created>
  <dcterms:modified xsi:type="dcterms:W3CDTF">2011-04-12T10:06:00Z</dcterms:modified>
</cp:coreProperties>
</file>