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36"/>
          <w:szCs w:val="36"/>
        </w:rPr>
        <w:t xml:space="preserve">WarehouseLOC → Finestra ISO 20022 pain.001.001.09</w:t>
      </w:r>
    </w:p>
    <w:p>
      <w:pPr>
        <w:spacing w:after="200"/>
      </w:pPr>
      <w:r>
        <w:rPr>
          <w:sz w:val="26"/>
          <w:szCs w:val="26"/>
        </w:rPr>
        <w:t xml:space="preserve">Wire Transfer Field Mapping &amp; Sign-Off Document</w:t>
      </w:r>
    </w:p>
    <w:p>
      <w:pPr>
        <w:spacing w:after="120"/>
      </w:pPr>
      <w:r>
        <w:rPr>
          <w:b w:val="false"/>
          <w:bCs w:val="false"/>
          <w:i/>
          <w:iCs/>
          <w:sz w:val="22"/>
          <w:szCs w:val="22"/>
        </w:rPr>
        <w:t xml:space="preserve">Purpose: This document maps existing PayPlus/Fedwire proprietary fields to the proposed ISO 20022 pain.001.001.09 structure for the upcoming Finestra wire submission migration. Section 1 contains field mappings derived from current production data samples. Section 2 lists open items requiring Finestra confirmation or written sign-off before development of the generation logic begins.</w:t>
      </w:r>
    </w:p>
    <w:p>
      <w:pPr>
        <w:spacing w:after="120"/>
      </w:pPr>
      <w:r>
        <w:rPr>
          <w:b/>
          <w:bCs/>
          <w:i w:val="false"/>
          <w:iCs w:val="false"/>
          <w:sz w:val="22"/>
          <w:szCs w:val="22"/>
        </w:rPr>
        <w:t xml:space="preserve">Status: Draft for Finestra review — Requested sign-off / written feedback by: [DATE]</w:t>
      </w:r>
    </w:p>
    <w:p>
      <w:pPr>
        <w:pStyle w:val="Heading1"/>
        <w:spacing w:after="160" w:before="240"/>
      </w:pPr>
      <w:r>
        <w:t xml:space="preserve">Section 1: Confirmed Field Mappings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following mappings were derived directly from current production wire data and the ISO 20022 pain.001.001.09 schema. These are presented as our proposed implementation; please confirm or correct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  <w:gridCol w:w="1560"/>
        <w:gridCol w:w="1560"/>
      </w:tblGrid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PayPlus / Fedwire Field (Legacy)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Value Example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ISO 20022 pain.001.001.09 Element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PayPlusFedwireID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(not mapped - internal routing flag)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Legacy-only; no ISO equivalent identified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PayPlusIntakeId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21992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PmtInfId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PmtInf/PmtInfId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Used as unique payment information identifier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ReferenceNumber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WL28900000021992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MsgId / InstrTrcId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GrpHdr/MsgId, SplmtryData/Envlp/Document/InstrTrcId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Carried in both group header and supplementary data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InputCycleDate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20240509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ReqdExctnDt / Dt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PmtInf/ReqdExctnDt/Dt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Reformatted to YYYY-MM-DD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WireAmount / Amount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000024968459 (24968.459)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InstdAmt (with Ccy attribute)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CdtTrfTxInf/Amt/InstdAmt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Ccy attribute set to USD; verify decimal scaling/rounding rules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SenderABANumber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071925402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DbtrAgt ClrSysMmbId / MmbId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PmtInf/DbtrAgt/FinInstnId/ClrSysMmbId/MmbId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ClrSysId/Cd = USABA (static)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SenderShortName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Hinsdale Bank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DbtrAgt / 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PmtInf/DbtrAgt/FinInstnId/Nm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Sending (originator) bank display name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SenderReference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{3320} / WL28900000021992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PmtInfId (see above)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PmtInf/PmtInfId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 if a second reference field is also required by Finestra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ReceiverABANumber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053100300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CdtrAgt ClrSysMmbId / MmbId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CdtTrfTxInf/CdtrAgt/FinInstnId/ClrSysMmbId/MmbId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ClrSysId/Cd = USABA (static)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ReceiverShortName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FIRST CITZ RALEIGH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CdtrAgt / 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CdtTrfTxInf/CdtrAgt/FinInstnId/Nm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Receiving (beneficiary) bank display name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BusinessFunctionCode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CTR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LclInstrm / Cd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PmtInf/PmtTpInf/LclInstrm/Cd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Static value CTR for all customer transfer wires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TypeCode / TypeOrSubtype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 / 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PmtMtd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PmtInf/PmtMtd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Mapped to static value TRF; confirm TypeCode 10/00 always maps to TRF/CTR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BeneficiaryIDCode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(folded into CdtrAcct/Id/Othr)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CdtTrfTxInf/CdtrAcct/Id/Othr/Id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 code itself has no direct ISO element; identifier value passed through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BeneficiaryIdentifier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000342295697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CdtrAcct / Id / Othr /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CdtTrfTxInf/CdtrAcct/Id/Othr/Id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Account/ID number for beneficiary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Jennifer Kirby Fincher, PLLC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Cdtr / 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CdtTrfTxInf/Cdtr/Nm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BeneficiaryAddressLine1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2543 Ravenhill Drive, Suite 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Cdtr / PstlAdr / StrtNm + BldgNb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CdtTrfTxInf/Cdtr/PstlAdr/StrtNm, BldgNb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 single line must be parsed into street name + building number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BeneficiaryAddressLine2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Fayetteville, NC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Cdtr / PstlAdr / TwnNm + CtrySubDvsn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CdtTrfTxInf/Cdtr/PstlAdr/TwnNm, CtrySubDvsn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 single line must be parsed into city + state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OriginatorIDCode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(folded into DbtrAcct/Id/Othr)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PmtInf/DbtrAcct/Id/Othr/Id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pattern as BeneficiaryIDCode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OriginatorIdentifier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2893422659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DbtrAcct / Id / Othr /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PmtInf/DbtrAcct/Id/Othr/Id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Account/ID number for originator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OriginatorName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Southern Trust Mortgage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Dbtr / 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PmtInf/Dbtr/Nm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OriginatorAddressLine1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295 Bendix Road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Dbtr / PstlAdr / StrtNm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PmtInf/Dbtr/PstlAdr/StrtNm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BldgNb parsed separately if present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OriginatorAddressLine2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Suite 400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Dbtr / PstlAdr / (additional line)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PmtInf/Dbtr/PstlAdr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Confirm whether Finestra wants this folded into StrtNm or a separate line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OriginatorToBeneficiaryInformationLine1-4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Beckwith, Ian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RmtInf / Ustrd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CdtTrfTxInf/RmtInf/Ustrd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 legacy lines concatenated into a single Ustrd field; confirm max length / delimiter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CreatedDateTime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2024-05-09T10:00:02.870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CreDtTm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GrpHdr/CreDtTm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ISO 8601 timestamp, generated at message creation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BeneficiaryFI fields (BeneficiaryFIIDCode, Identifier, etc.)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(blank in sample)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CdtrAgt / FinInstnId (additional FI)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CdtTrfTxInf/CdtrAgt/FinInstnId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Currently unused in sample data; placeholders only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t xml:space="preserve">Section 2: Open Items Requiring Finestra Confirmation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items below could not be conclusively mapped from available sample data alone. For each, we propose a default/assumption so development can proceed in parallel. Please review and either confirm the proposed default or provide the correct specification.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 / ISO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 for Finestra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Our Proposed Default (pending sign-off)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SplmtryData / Envlp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 the nested SplmtryData/Envlp/Document (supl.001.001.01) envelope format shown in our sample the current required structure, or has it changed for the November deadline?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Reproduce structure as observed in current Finestra test file (InstrTrcId, InstrRcptId, BusChanl, Ext block)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BusChanl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 'EC_D1B' a fixed channel code for our institution, or does it vary by transaction type / business unit?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Treat as static configuration value per sending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debitAccountType / instMethod / waiveFees (Ext block)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Are these three Ext fields required on every transaction, or only specific transaction types?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Default: debitAccountType=corporate, instMethod=Person, waiveFees=N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IntrmyAgt1 (Intermediary Bank)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 the IntrmyAgt1 / IntrmyAgt1Acct block required on every wire, or only when an intermediary bank is present in the legacy record?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Conditionally include only when intermediary data exists on the source record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Address line parsing (StrtNm/BldgNb/TwnNm/CtrySubDvsn)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 system stores address as 2 free-text lines. Will Finestra accept the full free-text line in StrtNm with BldgNb blank, or is structured parsing mandatory?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Best-effort parse; fallback to placing full text in StrtNm if parsing fails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Amount scaling / decimal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Legacy WireAmount is stored as a zero-padded integer string (e.g. 000024968459). Confirm the implied decimal position and required InstdAmt format (e.g. 24968.459 vs 24968.46).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Assume 3 implied decimals per sample; round to 2 decimals for InstdAmt per ISO currency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MsgId uniqueness /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Is there a required format or length restriction for GrpHdr/MsgId beyond the 35-character ISO limit?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Use existing ReferenceNumber (e.g. WL28900000021992), truncated/validated to 35 chars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InitgPty / Nm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Sample shows 'D1B' as InitgPty/Nm. Is this a fixed institution code Finestra expects, or should it reflect the originating branch/division?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Treat as static configuration value, confirm exact value with Finestra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File delivery 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the ISO 20022 file be delivered via the same SFTP/file-drop mechanism as the current PayPlus XML, or does Finestra require an API/MQ submission for pain.001.001.09?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Assume same SFTP file-drop pattern unless otherwise directed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Validation / acknowledgment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Will Finestra return a pain.002 (Customer Payment Status Report) or other acknowledgment we need to ingest?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No acknowledgment processing in initial scope; revisit if Finestra requires it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t xml:space="preserve">Section 3: Sign-Off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By signing below, Finestra confirms that the mappings in Section 1 are accurate and that the proposed defaults in Section 2 are acceptable for initial implementation, OR has provided corrected guidance inline above.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Finestra Representative: ___________________________     Date: 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Title: ______________________________________________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WarehouseLOC / Internal Reviewer: ___________________     Date: ______________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2026-06-14T15:02:30.117Z</dcterms:created>
  <dcterms:modified xsi:type="dcterms:W3CDTF">2026-06-14T15:02:30.118Z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