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F4E78"/>
          <w:sz w:val="32"/>
          <w:szCs w:val="32"/>
        </w:rPr>
        <w:t xml:space="preserve">Jira Stories — Finestra ISO 20022 (pain.001.001.09) Wire Migration</w:t>
      </w:r>
    </w:p>
    <w:p>
      <w:pPr>
        <w:spacing w:after="80"/>
      </w:pPr>
      <w:r>
        <w:rPr>
          <w:sz w:val="22"/>
          <w:szCs w:val="22"/>
        </w:rPr>
        <w:t xml:space="preserve">Parent Epic suggestion: </w:t>
      </w:r>
      <w:r>
        <w:rPr>
          <w:b/>
          <w:bCs/>
          <w:sz w:val="22"/>
          <w:szCs w:val="22"/>
        </w:rPr>
        <w:t xml:space="preserve">WEBLOC-XXXX: Migrate Wire Transfer File Generation from PayPlus/Fedwire XML to ISO 20022 pain.001.001.09 (Finestra)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1 — Field Mapping &amp; Sign-Off Documentation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Produce and circulate ISO 20022 field mapping document for Finestra sign-off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a mapping document covering all PayPlus/Fedwire fields currently used in wire generation, mapped to their ISO 20022 pain.001.001.09 equivalents. Include an "Open Items" section for fields without a confirmed mapping. Send to Finestra for written sign-off or corrections.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Mapping doc covers all fields in current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pain001 (002).xml</w:t>
      </w:r>
      <w:r>
        <w:rPr>
          <w:sz w:val="22"/>
          <w:szCs w:val="22"/>
        </w:rPr>
        <w:t xml:space="preserve"> sample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Open items table identifies all ambiguous/unmapped fields with proposed defaults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Document sent to Finestra; response tracked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Sign-off (or documented corrections) received before Story 3 begins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Blocks:</w:t>
      </w:r>
      <w:r>
        <w:rPr>
          <w:sz w:val="22"/>
          <w:szCs w:val="22"/>
        </w:rPr>
        <w:t xml:space="preserve"> Story 3, Story 4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2 — Define Mapping Table Schema in SQL Server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Create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ISOWireFieldMapping</w:t>
      </w:r>
      <w:r>
        <w:rPr>
          <w:sz w:val="22"/>
          <w:szCs w:val="22"/>
        </w:rPr>
        <w:t xml:space="preserve"> table and seed static/known values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a SQL Server table to hold field-to-ISO-element mappings, including static values (USABA, CTR, TRF, CACC, USD, BusChanl code) and dynamic field references. This drives the generation stored procedure and allows non-dev updates to mappings.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ISOWireFieldMapping</w:t>
      </w:r>
      <w:r>
        <w:rPr>
          <w:sz w:val="22"/>
          <w:szCs w:val="22"/>
        </w:rPr>
        <w:t xml:space="preserve"> table created with columns for source field, ISO path, static flag/value, active flag,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Static values seeded (clearing system code, payment method, account type code, currency, local instrument code, business channel)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Table reviewed against signed-off mapping doc from Story 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1 (for confirmed static values)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3 — Data Access Layer: Wire Data DTO + Retrieval Stored Procedure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up_GetWireDataForISOExport</w:t>
      </w:r>
      <w:r>
        <w:rPr>
          <w:sz w:val="22"/>
          <w:szCs w:val="22"/>
        </w:rPr>
        <w:t xml:space="preserve"> SP and corresponding C# DTO(s)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Instead of generating XML in SQL, build a stored procedure that returns a flat result set with all fields needed for ISO 20022 generation (originator, beneficiary, banks, intermediary, amounts, references, Finestra-specific fields). Define matching C# DTO class(es) (e.g.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WireExportDto</w:t>
      </w:r>
      <w:r>
        <w:rPr>
          <w:sz w:val="22"/>
          <w:szCs w:val="22"/>
        </w:rPr>
        <w:t xml:space="preserve">) that all downstream classes will consume. This is the foundation everyone else builds on — do this first and get it stable quickly.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SP returns one row per wire with all fields identified in the mapping doc (Section 1), nulls allowed for optional/conditional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explicitly includes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ThirdPartyBankABANumber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ThirdPartyBankAccountNumber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ThirdPartyBankName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ThirdPartyBankAddressLine1-3</w:t>
      </w:r>
      <w:r>
        <w:rPr>
          <w:sz w:val="22"/>
          <w:szCs w:val="22"/>
        </w:rPr>
        <w:t xml:space="preserve"> (nullable) to support {4100} conditional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includes all 3 Originator address lines (OFAC requires minimum 2 populated)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reviewed/agreed by all developers assigned to Stories 4a/4b/5 before they start (shared contract)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Unit test confirms SP returns expected data for: (a) standard wire, (b) third party wire with ABA, (c) third party wire with account number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Blocks:</w:t>
      </w:r>
      <w:r>
        <w:rPr>
          <w:sz w:val="22"/>
          <w:szCs w:val="22"/>
        </w:rPr>
        <w:t xml:space="preserve"> Stories 4a,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4a — C# Model Classes: GroupHeader &amp; PaymentInformation (Debtor side)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</w:t>
      </w:r>
      <w:r>
        <w:rPr>
          <w:sz w:val="22"/>
          <w:szCs w:val="22"/>
        </w:rPr>
        <w:t xml:space="preserve"> (Dbtr/DbtrAgt/DbtrAcct) classes with XML serialization attributes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representing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GrpHdr</w:t>
      </w:r>
      <w:r>
        <w:rPr>
          <w:sz w:val="22"/>
          <w:szCs w:val="22"/>
        </w:rPr>
        <w:t xml:space="preserve"> (MsgId, CreDtTm, NbOfTxs, CtrlSum, InitgPty) and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PmtInf</w:t>
      </w:r>
      <w:r>
        <w:rPr>
          <w:sz w:val="22"/>
          <w:szCs w:val="22"/>
        </w:rPr>
        <w:t xml:space="preserve"> header through the debtor side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DbtrAcct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DbtrAgt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PmtTpInf/LclInstrm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ReqdExctnDt</w:t>
      </w:r>
      <w:r>
        <w:rPr>
          <w:sz w:val="22"/>
          <w:szCs w:val="22"/>
        </w:rPr>
        <w:t xml:space="preserve">), decorated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[XmlElement]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[XmlAttribute]</w:t>
      </w:r>
      <w:r>
        <w:rPr>
          <w:sz w:val="22"/>
          <w:szCs w:val="22"/>
        </w:rPr>
        <w:t xml:space="preserve"> (or built via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System.Xml.Linq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XElement</w:t>
      </w:r>
      <w:r>
        <w:rPr>
          <w:sz w:val="22"/>
          <w:szCs w:val="22"/>
        </w:rPr>
        <w:t xml:space="preserve">, per team preference) targeting the pain.001.001.09 namespace.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DebtorAgent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Address parsing logic (legacy single-line → StrtNm/BldgNb/TwnNm/CtrySubDvsn/PstCd) implemented and unit tested; best-effort parse with fallback to full text in StrtNm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`Ctry='US'` hardcoded</w:t>
      </w:r>
      <w:r>
        <w:rPr>
          <w:sz w:val="22"/>
          <w:szCs w:val="22"/>
        </w:rPr>
        <w:t xml:space="preserve"> on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Dbtr/PstlAdr/Ctry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DbtrAgt/FinInstnId/PstlAdr/Ctry</w:t>
      </w:r>
      <w:r>
        <w:rPr>
          <w:sz w:val="22"/>
          <w:szCs w:val="22"/>
        </w:rPr>
        <w:t xml:space="preserve"> — this field did not exist in legacy Fedwire format; required by pain.001 PstlAdr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OFAC:</w:t>
      </w:r>
      <w:r>
        <w:rPr>
          <w:sz w:val="22"/>
          <w:szCs w:val="22"/>
        </w:rPr>
        <w:t xml:space="preserve"> Enforce minimum 2 populated address lines on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Dbtr/PstlAdr</w:t>
      </w:r>
      <w:r>
        <w:rPr>
          <w:sz w:val="22"/>
          <w:szCs w:val="22"/>
        </w:rPr>
        <w:t xml:space="preserve">; log warning if incomplete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populate correctly from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WireExportDto</w:t>
      </w:r>
      <w:r>
        <w:rPr>
          <w:sz w:val="22"/>
          <w:szCs w:val="22"/>
        </w:rPr>
        <w:t xml:space="preserve"> (Story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Serialized output for this section validated against pain.001.001.09 schema fragment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4b — C# Model Classes: CreditTransferTransaction (Creditor/Beneficiary side)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CreditTransferTransactionInformation</w:t>
      </w:r>
      <w:r>
        <w:rPr>
          <w:sz w:val="22"/>
          <w:szCs w:val="22"/>
        </w:rPr>
        <w:t xml:space="preserve"> classes (Amt, IntrmyAgt1, CdtrAgt, Cdtr, CdtrAcct, Purp, RmtInf)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for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CdtTrfTxInf</w:t>
      </w:r>
      <w:r>
        <w:rPr>
          <w:sz w:val="22"/>
          <w:szCs w:val="22"/>
        </w:rPr>
        <w:t xml:space="preserve"> block: amount/currency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Amt/InstdAmt</w:t>
      </w:r>
      <w:r>
        <w:rPr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Ccy</w:t>
      </w:r>
      <w:r>
        <w:rPr>
          <w:sz w:val="22"/>
          <w:szCs w:val="22"/>
        </w:rPr>
        <w:t xml:space="preserve"> attribute), conditional intermediary bank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IntrmyAgt1Acct</w:t>
      </w:r>
      <w:r>
        <w:rPr>
          <w:sz w:val="22"/>
          <w:szCs w:val="22"/>
        </w:rPr>
        <w:t xml:space="preserve">), creditor agent (beneficiary bank), creditor (beneficiary) with parsed address, creditor account, purpose, and remittance info.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CreditTransferTransactionInformation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Amount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IntermediaryAgent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CreditorAgent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Purpose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RemittanceInformation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InstdAmt</w:t>
      </w:r>
      <w:r>
        <w:rPr>
          <w:sz w:val="22"/>
          <w:szCs w:val="22"/>
        </w:rPr>
        <w:t xml:space="preserve"> serializes with correct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Ccy="USD"</w:t>
      </w:r>
      <w:r>
        <w:rPr>
          <w:sz w:val="22"/>
          <w:szCs w:val="22"/>
        </w:rPr>
        <w:t xml:space="preserve"> attribute; amount calculated by dividing raw integer by 100 (2 implied decimals — e.g. 000001234567 = 12345.67)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Third party wire scaffolding (IDCode=F):</w:t>
      </w:r>
      <w:r>
        <w:rPr>
          <w:sz w:val="22"/>
          <w:szCs w:val="22"/>
        </w:rPr>
        <w:t xml:space="preserve"> When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ThirdPartyBankABANumber</w:t>
      </w:r>
      <w:r>
        <w:rPr>
          <w:sz w:val="22"/>
          <w:szCs w:val="22"/>
        </w:rPr>
        <w:t xml:space="preserve"> present, emit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IntrmyAgt1/FinInstnId/ClrSysMmbId/MmbId</w:t>
      </w:r>
      <w:r>
        <w:rPr>
          <w:sz w:val="22"/>
          <w:szCs w:val="22"/>
        </w:rPr>
        <w:t xml:space="preserve"> with USABA + third party ABA,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IntrmyAgt1/FinInstnId/Nm</w:t>
      </w:r>
      <w:r>
        <w:rPr>
          <w:sz w:val="22"/>
          <w:szCs w:val="22"/>
        </w:rPr>
        <w:t xml:space="preserve"> with bank name. Build behind feature flag pending Finestra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Third party wire scaffolding (IDCode=D):</w:t>
      </w:r>
      <w:r>
        <w:rPr>
          <w:sz w:val="22"/>
          <w:szCs w:val="22"/>
        </w:rPr>
        <w:t xml:space="preserve"> When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ThirdPartyBankAccountNumber</w:t>
      </w:r>
      <w:r>
        <w:rPr>
          <w:sz w:val="22"/>
          <w:szCs w:val="22"/>
        </w:rPr>
        <w:t xml:space="preserve"> present (no ABA), emit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IntrmyAgt1/FinInstnId/Nm</w:t>
      </w:r>
      <w:r>
        <w:rPr>
          <w:sz w:val="22"/>
          <w:szCs w:val="22"/>
        </w:rPr>
        <w:t xml:space="preserve"> with bank name +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IntrmyAgt1Acct/Id/Othr/Id</w:t>
      </w:r>
      <w:r>
        <w:rPr>
          <w:sz w:val="22"/>
          <w:szCs w:val="22"/>
        </w:rPr>
        <w:t xml:space="preserve"> with account number. Build behind feature flag pending Finestra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When neither third party field present, omit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IntrmyAgt1Acct</w:t>
      </w:r>
      <w:r>
        <w:rPr>
          <w:sz w:val="22"/>
          <w:szCs w:val="22"/>
        </w:rPr>
        <w:t xml:space="preserve"> entirely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`Ctry='US'` hardcoded</w:t>
      </w:r>
      <w:r>
        <w:rPr>
          <w:sz w:val="22"/>
          <w:szCs w:val="22"/>
        </w:rPr>
        <w:t xml:space="preserve"> on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Cdtr/PstlAdr/Ctry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CdtrAgt/FinInstnId/PstlAdr/Ctry</w:t>
      </w:r>
      <w:r>
        <w:rPr>
          <w:sz w:val="22"/>
          <w:szCs w:val="22"/>
        </w:rPr>
        <w:t xml:space="preserve"> — this field did not exist in legacy Fedwire format; required by pain.001 PstlAdr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Address parsing for beneficiary (StrtNm, BldgNb, TwnNm, CtrySubDvsn, PstCd) implemented and unit tested; best-effort parse with fallback to full text in StrtNm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OFAC: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Dbtr/PstlAdr</w:t>
      </w:r>
      <w:r>
        <w:rPr>
          <w:sz w:val="22"/>
          <w:szCs w:val="22"/>
        </w:rPr>
        <w:t xml:space="preserve"> minimum 2 address lines enforced with validation warning if incomplete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Serialized output validated for: standard wire, third party ABA wire, third party account wire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4a,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4c — Third Party Wire Handling (IDCode F and 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Implement conditional third party bank logic for {4100} scenarios once Finestra confirms pain.001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Legacy {4100} BeneficiaryFI tag identifies a third party bank when the beneficiary's bank differs from the receiving institution. Two scenarios exist: IDCode=F (third party identified by ABA routing number) and IDCode=D (third party identified by account number). pain.001 handles these differently — Finestra must confirm which elements to use before this story can be fully implemented. Code scaffolding and feature flag can be built in Story 4b; this story completes and hardens the implementation once sign-off is received.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Finestra sign-off received confirming IntrmyAgt1 assumption for IDCode=F and IDCode=D (Open Items Q1 and Q2)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If confirmed: feature flag removed, IntrmyAgt1 (IDCode=F) and IntrmyAgt1Acct (IDCode=D) implementations hardened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If Finestra provides a different structure: implementation updated accordingly from scaffolding built in Story 4b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Ctry='US'</w:t>
      </w:r>
      <w:r>
        <w:rPr>
          <w:sz w:val="22"/>
          <w:szCs w:val="22"/>
        </w:rPr>
        <w:t xml:space="preserve"> confirmed on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IntrmyAgt1/FinInstnId/PstlAdr/Ctry</w:t>
      </w:r>
      <w:r>
        <w:rPr>
          <w:sz w:val="22"/>
          <w:szCs w:val="22"/>
        </w:rPr>
        <w:t xml:space="preserve"> per global address assumption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Unit tests cover all three wire scenarios end-to-end: standard, third party ABA, third party account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OFAC address validation confirmed passing for all scenarios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4b (scaffolding), Story 1 Open Items Q1/Q2 (Finestra sign-off)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Story 5 once scaffolding from 4b is in place</w:t>
      </w:r>
    </w:p>
    <w:p>
      <w:pPr>
        <w:pBdr>
          <w:bottom w:val="single" w:color="BFBFBF" w:sz="6" w:space="1"/>
        </w:pBd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Envelope</w:t>
      </w:r>
      <w:r>
        <w:rPr>
          <w:sz w:val="22"/>
          <w:szCs w:val="22"/>
        </w:rPr>
        <w:t xml:space="preserve"> classes for Finestra-specific block (supl.001.001.01)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representing the 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SplmtryData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Envlp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supplementary data blocks containing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TxTrcId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InstrTrcId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InstrRcptId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BusChanl</w:t>
      </w:r>
      <w:r>
        <w:rPr>
          <w:sz w:val="22"/>
          <w:szCs w:val="22"/>
        </w:rPr>
        <w:t xml:space="preserve">, and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</w:t>
      </w:r>
      <w:r>
        <w:rPr>
          <w:sz w:val="22"/>
          <w:szCs w:val="22"/>
        </w:rPr>
        <w:t xml:space="preserve"> block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debitAccountType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internationalPayment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instMethod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waiveFees</w:t>
      </w:r>
      <w:r>
        <w:rPr>
          <w:sz w:val="22"/>
          <w:szCs w:val="22"/>
        </w:rPr>
        <w:t xml:space="preserve">). These 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elements use a </w:t>
      </w:r>
      <w:r>
        <w:rPr>
          <w:b/>
          <w:bCs/>
          <w:sz w:val="22"/>
          <w:szCs w:val="22"/>
        </w:rPr>
        <w:t xml:space="preserve">different namespace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supl.001.001.01</w:t>
      </w:r>
      <w:r>
        <w:rPr>
          <w:sz w:val="22"/>
          <w:szCs w:val="22"/>
        </w:rPr>
        <w:t xml:space="preserve">) than the outer document — handle this explicitly (e.g. separate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XmlSerializerNamespaces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XNamespace</w:t>
      </w:r>
      <w:r>
        <w:rPr>
          <w:sz w:val="22"/>
          <w:szCs w:val="22"/>
        </w:rPr>
        <w:t xml:space="preserve"> per element).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Envelope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SupplementaryDocument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ExtensionData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elements correctly serialize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supl.001.001.01</w:t>
      </w:r>
      <w:r>
        <w:rPr>
          <w:sz w:val="22"/>
          <w:szCs w:val="22"/>
        </w:rPr>
        <w:t xml:space="preserve"> namespace, distinct from outer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pain.001.001.09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All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</w:t>
      </w:r>
      <w:r>
        <w:rPr>
          <w:sz w:val="22"/>
          <w:szCs w:val="22"/>
        </w:rPr>
        <w:t xml:space="preserve"> fields populated per confirmed/default values from Story 1 mapping doc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Output validated against Finestra sample/test file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contract), Story 1 (Open Items confirmation)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4a, 4b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6 — Integration: Assemble, Serialize, and Output Final ISO 20022 Document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Compose all model classes into root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, serialize with correct namespaces, and produce output 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Build the top-level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CstmrCdtTrfInitn</w:t>
      </w:r>
      <w:r>
        <w:rPr>
          <w:sz w:val="22"/>
          <w:szCs w:val="22"/>
        </w:rPr>
        <w:t xml:space="preserve"> class that composes the components from Stories 4a, 4b, and 5 into the final structure. Implement serialization (handling the dual-namespace requirement between outer pain.001.001.09 and inner supl.001.001.01 blocks), validate well-formedness/schema, and write the output file to the location expected by SSIS/Finestra intake.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Root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CstmrCdtTrfInitn</w:t>
      </w:r>
      <w:r>
        <w:rPr>
          <w:sz w:val="22"/>
          <w:szCs w:val="22"/>
        </w:rPr>
        <w:t xml:space="preserve"> class composes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</w:t>
      </w:r>
      <w:r>
        <w:rPr>
          <w:sz w:val="22"/>
          <w:szCs w:val="22"/>
        </w:rPr>
        <w:t xml:space="preserve"> (incl. nested 4a/4b components),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Final serialized XML carries correct namespace declarations at both outer and inner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Full output validates against pain.001.001.09 schema with zero errors, for wires both with and without intermediary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Output file written in format/location consumable by existing SSIS package (or new lightweight job — coordinate with Story 7)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Stories 4a,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7 — SSIS Integration / File Output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Update SSIS package to trigger ISO 20022 generation and consume output 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Update the existing SSIS package/job that currently calls the PayPlus XML generation SP to instead trigger the new C# generation process (Story 6) and pick up its output file for delivery to Finestra's intake location/naming convention.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SSIS package (or replacement job) triggers C# generation and writes/picks up output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File naming convention confirmed with Finestra (per Story 1 open item on delivery mechanism)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End-to-end test file generated and validated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6, Story 1 (delivery mechanism confirmation)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8 — Parallel Run / Validation Testing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Run new ISO 20022 generation in parallel with legacy PayPlus format for validation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For a defined test period, generate both legacy PayPlus XML and new ISO 20022 XML for the same wires, compare field-by-field, and validate ISO output against schema and any Finestra test/UAT environment.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Parallel output generated for a sample set of wires (incl. wires with/without intermediary banks)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Field-by-field comparison documented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Finestra UAT acceptance (if available) or schema validation passes with zero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Sign-off from business stakeholders to cut over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7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9 (Stretch/Follow-up) — pain.002 Acknowledgment Handling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 (candidate for future sprint)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Ingest and process Finestra acknowledgment/status report, if required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Per Open Item in Story 1, if Finestra returns a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pain.002</w:t>
      </w:r>
      <w:r>
        <w:rPr>
          <w:sz w:val="22"/>
          <w:szCs w:val="22"/>
        </w:rPr>
        <w:t xml:space="preserve"> Customer Payment Status Report, build handling to ingest and reconcile against submitted wires.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TBD pending Finestra confirmation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 of scope for initial November cutover unless required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TBD (placeholder)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1 confirmation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F4E78"/>
          <w:sz w:val="28"/>
          <w:szCs w:val="28"/>
        </w:rPr>
        <w:t xml:space="preserve">Suggested Sprint Grouping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1:</w:t>
      </w:r>
      <w:r>
        <w:rPr>
          <w:sz w:val="22"/>
          <w:szCs w:val="22"/>
        </w:rPr>
        <w:t xml:space="preserve"> Stories 1, 2, 3 (mapping doc v2 out the door, mapping table, DTO/SP foundation — Story 3 unblocks parallel work. Third party fields in DTO from day 1.)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2:</w:t>
      </w:r>
      <w:r>
        <w:rPr>
          <w:sz w:val="22"/>
          <w:szCs w:val="22"/>
        </w:rPr>
        <w:t xml:space="preserve"> Stories 4a, 4b, 5 — 3 developers in parallel. 4b includes third party scaffolding behind feature flag.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3:</w:t>
      </w:r>
      <w:r>
        <w:rPr>
          <w:sz w:val="22"/>
          <w:szCs w:val="22"/>
        </w:rPr>
        <w:t xml:space="preserve"> Story 4c (third party hardening — depends on Finestra Q1/Q2 sign-off), Story 6 (integration), Story 7 (SSIS)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4:</w:t>
      </w:r>
      <w:r>
        <w:rPr>
          <w:sz w:val="22"/>
          <w:szCs w:val="22"/>
        </w:rPr>
        <w:t xml:space="preserve"> Story 8 (parallel run/validation — must include third party wire test cases)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Backlog:</w:t>
      </w:r>
      <w:r>
        <w:rPr>
          <w:sz w:val="22"/>
          <w:szCs w:val="22"/>
        </w:rPr>
        <w:t xml:space="preserve"> Story 9</w:t>
      </w:r>
    </w:p>
    <w:p>
      <w:pPr>
        <w:pStyle w:val="Heading1"/>
        <w:spacing w:after="120" w:before="200"/>
      </w:pPr>
      <w:r>
        <w:rPr>
          <w:b/>
          <w:bCs/>
          <w:color w:val="1F4E78"/>
          <w:sz w:val="28"/>
          <w:szCs w:val="28"/>
        </w:rPr>
        <w:t xml:space="preserve">Risk Notes for Grooming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Third party wire risk (NEW):</w:t>
      </w:r>
      <w:r>
        <w:rPr>
          <w:sz w:val="22"/>
          <w:szCs w:val="22"/>
        </w:rPr>
        <w:t xml:space="preserve"> Stories 4b/4c depend on Finestra confirming how {4100} IDCode=F and IDCode=D map to pain.001 elements. This is the highest-priority open item in the mapping doc. Scaffolding can be built in 4b behind a feature flag, but hardening (4c) is blocked until sign-off. Recommend escalating Q1/Q2 from the mapping doc to Finestra immediately.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decimal correction:</w:t>
      </w:r>
      <w:r>
        <w:rPr>
          <w:sz w:val="22"/>
          <w:szCs w:val="22"/>
        </w:rPr>
        <w:t xml:space="preserve"> Original mapping assumed 3 implied decimals. Confirmed from Webloc Wire Tag spec as 2 implied decimals. SP in Story 3 and Amount class in Story 4b must divide raw integer by 100, not 1000.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OFAC compliance:</w:t>
      </w:r>
      <w:r>
        <w:rPr>
          <w:sz w:val="22"/>
          <w:szCs w:val="22"/>
        </w:rPr>
        <w:t xml:space="preserve"> Originator address minimum 2 lines is a compliance requirement, not just a data quality issue. Story 4b must enforce this with a validation warning or hard error.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Finestra sign-off dependency:</w:t>
      </w:r>
      <w:r>
        <w:rPr>
          <w:sz w:val="22"/>
          <w:szCs w:val="22"/>
        </w:rPr>
        <w:t xml:space="preserve"> Stories 4c and 5 both depend on Finestra open items being resolved. If sign-off is delayed, recommend proceeding with documented proposed defaults under feature flags and flagging as technical debt — November deadline does not allow waiting indefinitely.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2026-06-17T22:27:45.784Z</dcterms:created>
  <dcterms:modified xsi:type="dcterms:W3CDTF">2026-06-17T22:27:45.784Z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