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Mortgage Warehouse Modernization</w:t>
        <w:br/>
        <w:t>Functional Requirements Document (FRD)</w:t>
      </w:r>
    </w:p>
    <w:p>
      <w:pPr>
        <w:jc w:val="center"/>
      </w:pPr>
      <w:r>
        <w:rPr>
          <w:b/>
        </w:rPr>
        <w:t>API-First Incremental Migration: .NET Framework 4.8 Razor UI to Modern .NET</w:t>
      </w:r>
    </w:p>
    <w:p>
      <w:pPr>
        <w:jc w:val="center"/>
      </w:pPr>
      <w:r>
        <w:t>Draft for architecture, development planning, and stakeholder review</w:t>
      </w:r>
    </w:p>
    <w:p>
      <w:pPr>
        <w:pStyle w:val="Heading1"/>
      </w:pPr>
      <w:r>
        <w:t>1. Purpose</w:t>
      </w:r>
    </w:p>
    <w:p>
      <w:r>
        <w:t>Define a phased modernization approach that allows the existing Mortgage Warehouse application to remain operational and continue receiving business enhancements while a new modern .NET backend is introduced module by module.</w:t>
      </w:r>
    </w:p>
    <w:p>
      <w:pPr>
        <w:pStyle w:val="ListBullet"/>
      </w:pPr>
      <w:r>
        <w:t>Preserve the current Razor-based user experience during the early migration phases.</w:t>
      </w:r>
    </w:p>
    <w:p>
      <w:pPr>
        <w:pStyle w:val="ListBullet"/>
      </w:pPr>
      <w:r>
        <w:t>Move business functionality behind stable service-level Web APIs so the frontend is no longer tightly coupled to MVC controllers, Entity Framework, or database implementation details.</w:t>
      </w:r>
    </w:p>
    <w:p>
      <w:pPr>
        <w:pStyle w:val="ListBullet"/>
      </w:pPr>
      <w:r>
        <w:t>Create a backend contract that can serve the current Razor UI and later support Angular, another SPA framework, mobile clients, or a future Razor UI without rewriting core business functionality.</w:t>
      </w:r>
    </w:p>
    <w:p>
      <w:pPr>
        <w:pStyle w:val="ListBullet"/>
      </w:pPr>
      <w:r>
        <w:t>Avoid a big-bang rewrite and reduce the period in which normal product delivery must be frozen.</w:t>
      </w:r>
    </w:p>
    <w:p>
      <w:pPr>
        <w:pStyle w:val="Heading1"/>
      </w:pPr>
      <w:r>
        <w:t>2. Background / Current State</w:t>
      </w:r>
    </w:p>
    <w:p>
      <w:pPr>
        <w:pStyle w:val="ListBullet"/>
      </w:pPr>
      <w:r>
        <w:t>The production application is ASP.NET MVC on .NET Framework 4.8 and uses Razor views.</w:t>
      </w:r>
    </w:p>
    <w:p>
      <w:pPr>
        <w:pStyle w:val="ListBullet"/>
      </w:pPr>
      <w:r>
        <w:t>The application contains approximately 40 controllers and approximately 100 Razor views/pages.</w:t>
      </w:r>
    </w:p>
    <w:p>
      <w:pPr>
        <w:pStyle w:val="ListBullet"/>
      </w:pPr>
      <w:r>
        <w:t>Business, UI, controller, and EF6 data-access concerns are currently intertwined in portions of the application.</w:t>
      </w:r>
    </w:p>
    <w:p>
      <w:pPr>
        <w:pStyle w:val="ListBullet"/>
      </w:pPr>
      <w:r>
        <w:t>The application contains approximately 50 RDLC reports hosted through legacy ASPX/WebForms patterns.</w:t>
      </w:r>
    </w:p>
    <w:p>
      <w:pPr>
        <w:pStyle w:val="ListBullet"/>
      </w:pPr>
      <w:r>
        <w:t>The product must continue supporting active Mortgage Warehouse development while modernization is underway.</w:t>
      </w:r>
    </w:p>
    <w:p>
      <w:pPr>
        <w:pStyle w:val="ListBullet"/>
      </w:pPr>
      <w:r>
        <w:t>A future Angular frontend is under consideration, but the frontend decision should not block backend modernization.</w:t>
      </w:r>
    </w:p>
    <w:p>
      <w:pPr>
        <w:pStyle w:val="Heading1"/>
      </w:pPr>
      <w:r>
        <w:t>3. Modernization Objective</w:t>
      </w:r>
    </w:p>
    <w:p>
      <w:r>
        <w:t>Establish the new backend API as the durable modernization asset. During transition, the existing .NET Framework Razor application (Green) will consume migrated functionality from the new modern .NET API (Blue). The Razor UI may remain in place while business modules are progressively moved behind the API.</w:t>
      </w:r>
    </w:p>
    <w:p>
      <w:pPr>
        <w:pStyle w:val="Heading1"/>
      </w:pPr>
      <w:r>
        <w:t>4. Target Transitional Architecture</w:t>
      </w:r>
    </w:p>
    <w:p>
      <w:pPr>
        <w:ind w:left="504"/>
      </w:pPr>
      <w:r>
        <w:rPr>
          <w:b w:val="0"/>
        </w:rPr>
        <w:t>Browser</w:t>
      </w:r>
    </w:p>
    <w:p>
      <w:pPr>
        <w:ind w:left="734"/>
      </w:pPr>
      <w:r>
        <w:rPr>
          <w:b/>
        </w:rPr>
        <w:t>↓  Existing Razor UI (.NET Framework 4.8 - Green)</w:t>
      </w:r>
    </w:p>
    <w:p>
      <w:pPr>
        <w:ind w:left="965"/>
      </w:pPr>
      <w:r>
        <w:rPr>
          <w:b w:val="0"/>
        </w:rPr>
        <w:t>↓  Thin MVC/UI Controller</w:t>
      </w:r>
    </w:p>
    <w:p>
      <w:pPr>
        <w:ind w:left="1195"/>
      </w:pPr>
      <w:r>
        <w:rPr>
          <w:b w:val="0"/>
        </w:rPr>
        <w:t>↓  HTTP/JSON API Client</w:t>
      </w:r>
    </w:p>
    <w:p>
      <w:pPr>
        <w:ind w:left="1426"/>
      </w:pPr>
      <w:r>
        <w:rPr>
          <w:b/>
        </w:rPr>
        <w:t>↓  Modern .NET Web API (.NET 8+ or organization-approved supported version - Blue)</w:t>
      </w:r>
    </w:p>
    <w:p>
      <w:pPr>
        <w:ind w:left="1656"/>
      </w:pPr>
      <w:r>
        <w:rPr>
          <w:b w:val="0"/>
        </w:rPr>
        <w:t>↓  Business/Application Services</w:t>
      </w:r>
    </w:p>
    <w:p>
      <w:pPr>
        <w:ind w:left="1886"/>
      </w:pPr>
      <w:r>
        <w:rPr>
          <w:b w:val="0"/>
        </w:rPr>
        <w:t>↓  EF Core for migrated modules</w:t>
      </w:r>
    </w:p>
    <w:p>
      <w:pPr>
        <w:ind w:left="2117"/>
      </w:pPr>
      <w:r>
        <w:rPr>
          <w:b w:val="0"/>
        </w:rPr>
        <w:t>↓  SQL Server</w:t>
      </w:r>
    </w:p>
    <w:p>
      <w:r>
        <w:t>Later, the Green Razor/UI layer can be replaced by a modern Razor frontend or Angular while continuing to consume the same Blue APIs. The API contract, business services, and migrated data-access logic should not require a frontend-specific rewrite.</w:t>
      </w:r>
    </w:p>
    <w:p>
      <w:pPr>
        <w:pStyle w:val="Heading1"/>
      </w:pPr>
      <w:r>
        <w:t>5. Guiding Architecture Principles</w:t>
      </w:r>
    </w:p>
    <w:p>
      <w:pPr>
        <w:pStyle w:val="ListBullet"/>
      </w:pPr>
      <w:r>
        <w:rPr>
          <w:b/>
        </w:rPr>
        <w:t>API-first business functionality</w:t>
      </w:r>
    </w:p>
    <w:p>
      <w:pPr>
        <w:pStyle w:val="ListBullet2"/>
      </w:pPr>
      <w:r>
        <w:t>New or migrated business operations should be exposed through stable APIs rather than implemented directly inside Razor pages or UI-focused MVC controllers.</w:t>
      </w:r>
    </w:p>
    <w:p>
      <w:pPr>
        <w:pStyle w:val="ListBullet"/>
      </w:pPr>
      <w:r>
        <w:rPr>
          <w:b/>
        </w:rPr>
        <w:t>Thin presentation layer</w:t>
      </w:r>
    </w:p>
    <w:p>
      <w:pPr>
        <w:pStyle w:val="ListBullet2"/>
      </w:pPr>
      <w:r>
        <w:t>Razor views and UI controllers should focus on presentation, navigation, model preparation, and user interaction. Business rules and persistence logic should live behind the backend service boundary.</w:t>
      </w:r>
    </w:p>
    <w:p>
      <w:pPr>
        <w:pStyle w:val="ListBullet"/>
      </w:pPr>
      <w:r>
        <w:rPr>
          <w:b/>
        </w:rPr>
        <w:t>Frontend independence</w:t>
      </w:r>
    </w:p>
    <w:p>
      <w:pPr>
        <w:pStyle w:val="ListBullet2"/>
      </w:pPr>
      <w:r>
        <w:t>API contracts must not expose Razor-specific concepts. DTOs and endpoints should be usable by Razor today and Angular or another client later.</w:t>
      </w:r>
    </w:p>
    <w:p>
      <w:pPr>
        <w:pStyle w:val="ListBullet"/>
      </w:pPr>
      <w:r>
        <w:rPr>
          <w:b/>
        </w:rPr>
        <w:t>Vertical module migration</w:t>
      </w:r>
    </w:p>
    <w:p>
      <w:pPr>
        <w:pStyle w:val="ListBullet2"/>
      </w:pPr>
      <w:r>
        <w:t>Migrate a complete business capability at a time rather than converting every controller, then every EF class, then every view across the entire application.</w:t>
      </w:r>
    </w:p>
    <w:p>
      <w:pPr>
        <w:pStyle w:val="ListBullet"/>
      </w:pPr>
      <w:r>
        <w:rPr>
          <w:b/>
        </w:rPr>
        <w:t>Single source of business rules</w:t>
      </w:r>
    </w:p>
    <w:p>
      <w:pPr>
        <w:pStyle w:val="ListBullet2"/>
      </w:pPr>
      <w:r>
        <w:t>Once a business rule is migrated to Blue, Green should call the Blue implementation rather than maintaining a second independent version of the same rule.</w:t>
      </w:r>
    </w:p>
    <w:p>
      <w:pPr>
        <w:pStyle w:val="ListBullet"/>
      </w:pPr>
      <w:r>
        <w:rPr>
          <w:b/>
        </w:rPr>
        <w:t>No unnecessary legacy API layer</w:t>
      </w:r>
    </w:p>
    <w:p>
      <w:pPr>
        <w:pStyle w:val="ListBullet2"/>
      </w:pPr>
      <w:r>
        <w:t>Do not create temporary .NET Framework APIs for every module. Use a legacy bridge only where a dependency cannot yet be moved safely.</w:t>
      </w:r>
    </w:p>
    <w:p>
      <w:pPr>
        <w:pStyle w:val="ListBullet"/>
      </w:pPr>
      <w:r>
        <w:rPr>
          <w:b/>
        </w:rPr>
        <w:t>Backward-compatible transition</w:t>
      </w:r>
    </w:p>
    <w:p>
      <w:pPr>
        <w:pStyle w:val="ListBullet2"/>
      </w:pPr>
      <w:r>
        <w:t>Green must continue to operate for functionality that has not yet migrated.</w:t>
      </w:r>
    </w:p>
    <w:p>
      <w:pPr>
        <w:pStyle w:val="ListBullet"/>
      </w:pPr>
      <w:r>
        <w:rPr>
          <w:b/>
        </w:rPr>
        <w:t>Security by design</w:t>
      </w:r>
    </w:p>
    <w:p>
      <w:pPr>
        <w:pStyle w:val="ListBullet2"/>
      </w:pPr>
      <w:r>
        <w:t>Authentication, authorization, client access, maker/checker controls, auditability, and server-side validation must remain authoritative in the backend.</w:t>
      </w:r>
    </w:p>
    <w:p>
      <w:pPr>
        <w:pStyle w:val="Heading1"/>
      </w:pPr>
      <w:r>
        <w:t>6.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tcPr>
          <w:p>
            <w:r>
              <w:t>ID</w:t>
            </w:r>
          </w:p>
        </w:tc>
        <w:tc>
          <w:tcPr>
            <w:tcW w:type="dxa" w:w="2520"/>
            <w:vAlign w:val="top"/>
          </w:tcPr>
          <w:p>
            <w:r>
              <w:t>Requirement</w:t>
            </w:r>
          </w:p>
        </w:tc>
        <w:tc>
          <w:tcPr>
            <w:tcW w:type="dxa" w:w="2520"/>
            <w:vAlign w:val="top"/>
          </w:tcPr>
          <w:p>
            <w:r>
              <w:t>Description</w:t>
            </w:r>
          </w:p>
        </w:tc>
        <w:tc>
          <w:tcPr>
            <w:tcW w:type="dxa" w:w="2520"/>
            <w:vAlign w:val="top"/>
          </w:tcPr>
          <w:p>
            <w:r>
              <w:t>Priority</w:t>
            </w:r>
          </w:p>
        </w:tc>
      </w:tr>
      <w:tr>
        <w:tc>
          <w:tcPr>
            <w:tcW w:type="dxa" w:w="2520"/>
            <w:vAlign w:val="top"/>
          </w:tcPr>
          <w:p>
            <w:r>
              <w:t>FR-001</w:t>
            </w:r>
          </w:p>
        </w:tc>
        <w:tc>
          <w:tcPr>
            <w:tcW w:type="dxa" w:w="2520"/>
            <w:vAlign w:val="top"/>
          </w:tcPr>
          <w:p>
            <w:r>
              <w:t>Green/Blue coexistence</w:t>
            </w:r>
          </w:p>
        </w:tc>
        <w:tc>
          <w:tcPr>
            <w:tcW w:type="dxa" w:w="2520"/>
            <w:vAlign w:val="top"/>
          </w:tcPr>
          <w:p>
            <w:r>
              <w:t>The existing .NET Framework 4.8 application shall remain available while migrated modules are introduced in the Blue environment.</w:t>
            </w:r>
          </w:p>
        </w:tc>
        <w:tc>
          <w:tcPr>
            <w:tcW w:type="dxa" w:w="2520"/>
            <w:vAlign w:val="top"/>
          </w:tcPr>
          <w:p>
            <w:r>
              <w:t>Must</w:t>
            </w:r>
          </w:p>
        </w:tc>
      </w:tr>
      <w:tr>
        <w:tc>
          <w:tcPr>
            <w:tcW w:type="dxa" w:w="2520"/>
            <w:vAlign w:val="top"/>
          </w:tcPr>
          <w:p>
            <w:r>
              <w:t>FR-002</w:t>
            </w:r>
          </w:p>
        </w:tc>
        <w:tc>
          <w:tcPr>
            <w:tcW w:type="dxa" w:w="2520"/>
            <w:vAlign w:val="top"/>
          </w:tcPr>
          <w:p>
            <w:r>
              <w:t>Service-level APIs</w:t>
            </w:r>
          </w:p>
        </w:tc>
        <w:tc>
          <w:tcPr>
            <w:tcW w:type="dxa" w:w="2520"/>
            <w:vAlign w:val="top"/>
          </w:tcPr>
          <w:p>
            <w:r>
              <w:t>Each selected business module shall expose required operations through versionable HTTP API endpoints with explicit request/response DTOs.</w:t>
            </w:r>
          </w:p>
        </w:tc>
        <w:tc>
          <w:tcPr>
            <w:tcW w:type="dxa" w:w="2520"/>
            <w:vAlign w:val="top"/>
          </w:tcPr>
          <w:p>
            <w:r>
              <w:t>Must</w:t>
            </w:r>
          </w:p>
        </w:tc>
      </w:tr>
      <w:tr>
        <w:tc>
          <w:tcPr>
            <w:tcW w:type="dxa" w:w="2520"/>
            <w:vAlign w:val="top"/>
          </w:tcPr>
          <w:p>
            <w:r>
              <w:t>FR-003</w:t>
            </w:r>
          </w:p>
        </w:tc>
        <w:tc>
          <w:tcPr>
            <w:tcW w:type="dxa" w:w="2520"/>
            <w:vAlign w:val="top"/>
          </w:tcPr>
          <w:p>
            <w:r>
              <w:t>Razor consumption</w:t>
            </w:r>
          </w:p>
        </w:tc>
        <w:tc>
          <w:tcPr>
            <w:tcW w:type="dxa" w:w="2520"/>
            <w:vAlign w:val="top"/>
          </w:tcPr>
          <w:p>
            <w:r>
              <w:t>Existing Green MVC controllers shall be able to consume Blue APIs through a reusable API-client layer rather than directly duplicating Blue business logic.</w:t>
            </w:r>
          </w:p>
        </w:tc>
        <w:tc>
          <w:tcPr>
            <w:tcW w:type="dxa" w:w="2520"/>
            <w:vAlign w:val="top"/>
          </w:tcPr>
          <w:p>
            <w:r>
              <w:t>Must</w:t>
            </w:r>
          </w:p>
        </w:tc>
      </w:tr>
      <w:tr>
        <w:tc>
          <w:tcPr>
            <w:tcW w:type="dxa" w:w="2520"/>
            <w:vAlign w:val="top"/>
          </w:tcPr>
          <w:p>
            <w:r>
              <w:t>FR-004</w:t>
            </w:r>
          </w:p>
        </w:tc>
        <w:tc>
          <w:tcPr>
            <w:tcW w:type="dxa" w:w="2520"/>
            <w:vAlign w:val="top"/>
          </w:tcPr>
          <w:p>
            <w:r>
              <w:t>Thin UI controllers</w:t>
            </w:r>
          </w:p>
        </w:tc>
        <w:tc>
          <w:tcPr>
            <w:tcW w:type="dxa" w:w="2520"/>
            <w:vAlign w:val="top"/>
          </w:tcPr>
          <w:p>
            <w:r>
              <w:t>Migrated Green controllers shall perform UI orchestration only and shall not reimplement business validation already owned by Blue.</w:t>
            </w:r>
          </w:p>
        </w:tc>
        <w:tc>
          <w:tcPr>
            <w:tcW w:type="dxa" w:w="2520"/>
            <w:vAlign w:val="top"/>
          </w:tcPr>
          <w:p>
            <w:r>
              <w:t>Must</w:t>
            </w:r>
          </w:p>
        </w:tc>
      </w:tr>
      <w:tr>
        <w:tc>
          <w:tcPr>
            <w:tcW w:type="dxa" w:w="2520"/>
            <w:vAlign w:val="top"/>
          </w:tcPr>
          <w:p>
            <w:r>
              <w:t>FR-005</w:t>
            </w:r>
          </w:p>
        </w:tc>
        <w:tc>
          <w:tcPr>
            <w:tcW w:type="dxa" w:w="2520"/>
            <w:vAlign w:val="top"/>
          </w:tcPr>
          <w:p>
            <w:r>
              <w:t>Business services</w:t>
            </w:r>
          </w:p>
        </w:tc>
        <w:tc>
          <w:tcPr>
            <w:tcW w:type="dxa" w:w="2520"/>
            <w:vAlign w:val="top"/>
          </w:tcPr>
          <w:p>
            <w:r>
              <w:t>Blue API controllers shall delegate business behavior to application/domain services instead of embedding complex business logic in API controller actions.</w:t>
            </w:r>
          </w:p>
        </w:tc>
        <w:tc>
          <w:tcPr>
            <w:tcW w:type="dxa" w:w="2520"/>
            <w:vAlign w:val="top"/>
          </w:tcPr>
          <w:p>
            <w:r>
              <w:t>Must</w:t>
            </w:r>
          </w:p>
        </w:tc>
      </w:tr>
      <w:tr>
        <w:tc>
          <w:tcPr>
            <w:tcW w:type="dxa" w:w="2520"/>
            <w:vAlign w:val="top"/>
          </w:tcPr>
          <w:p>
            <w:r>
              <w:t>FR-006</w:t>
            </w:r>
          </w:p>
        </w:tc>
        <w:tc>
          <w:tcPr>
            <w:tcW w:type="dxa" w:w="2520"/>
            <w:vAlign w:val="top"/>
          </w:tcPr>
          <w:p>
            <w:r>
              <w:t>Module-level EF Core migration</w:t>
            </w:r>
          </w:p>
        </w:tc>
        <w:tc>
          <w:tcPr>
            <w:tcW w:type="dxa" w:w="2520"/>
            <w:vAlign w:val="top"/>
          </w:tcPr>
          <w:p>
            <w:r>
              <w:t>Where practical, data access for a migrated module shall move to EF Core with that module. EF6 may remain in Green for non-migrated functionality.</w:t>
            </w:r>
          </w:p>
        </w:tc>
        <w:tc>
          <w:tcPr>
            <w:tcW w:type="dxa" w:w="2520"/>
            <w:vAlign w:val="top"/>
          </w:tcPr>
          <w:p>
            <w:r>
              <w:t>Must</w:t>
            </w:r>
          </w:p>
        </w:tc>
      </w:tr>
      <w:tr>
        <w:tc>
          <w:tcPr>
            <w:tcW w:type="dxa" w:w="2520"/>
            <w:vAlign w:val="top"/>
          </w:tcPr>
          <w:p>
            <w:r>
              <w:t>FR-007</w:t>
            </w:r>
          </w:p>
        </w:tc>
        <w:tc>
          <w:tcPr>
            <w:tcW w:type="dxa" w:w="2520"/>
            <w:vAlign w:val="top"/>
          </w:tcPr>
          <w:p>
            <w:r>
              <w:t>Shared database transition</w:t>
            </w:r>
          </w:p>
        </w:tc>
        <w:tc>
          <w:tcPr>
            <w:tcW w:type="dxa" w:w="2520"/>
            <w:vAlign w:val="top"/>
          </w:tcPr>
          <w:p>
            <w:r>
              <w:t>Green and Blue may temporarily access the same SQL Server database, subject to clearly defined ownership of writes, transactions, schema changes, and business rules.</w:t>
            </w:r>
          </w:p>
        </w:tc>
        <w:tc>
          <w:tcPr>
            <w:tcW w:type="dxa" w:w="2520"/>
            <w:vAlign w:val="top"/>
          </w:tcPr>
          <w:p>
            <w:r>
              <w:t>Must</w:t>
            </w:r>
          </w:p>
        </w:tc>
      </w:tr>
      <w:tr>
        <w:tc>
          <w:tcPr>
            <w:tcW w:type="dxa" w:w="2520"/>
            <w:vAlign w:val="top"/>
          </w:tcPr>
          <w:p>
            <w:r>
              <w:t>FR-008</w:t>
            </w:r>
          </w:p>
        </w:tc>
        <w:tc>
          <w:tcPr>
            <w:tcW w:type="dxa" w:w="2520"/>
            <w:vAlign w:val="top"/>
          </w:tcPr>
          <w:p>
            <w:r>
              <w:t>Authorization</w:t>
            </w:r>
          </w:p>
        </w:tc>
        <w:tc>
          <w:tcPr>
            <w:tcW w:type="dxa" w:w="2520"/>
            <w:vAlign w:val="top"/>
          </w:tcPr>
          <w:p>
            <w:r>
              <w:t>Blue shall independently enforce user role, client/broker access, wire eligibility, maker/checker separation, and other server-side authorization rules relevant to each endpoint.</w:t>
            </w:r>
          </w:p>
        </w:tc>
        <w:tc>
          <w:tcPr>
            <w:tcW w:type="dxa" w:w="2520"/>
            <w:vAlign w:val="top"/>
          </w:tcPr>
          <w:p>
            <w:r>
              <w:t>Must</w:t>
            </w:r>
          </w:p>
        </w:tc>
      </w:tr>
      <w:tr>
        <w:tc>
          <w:tcPr>
            <w:tcW w:type="dxa" w:w="2520"/>
            <w:vAlign w:val="top"/>
          </w:tcPr>
          <w:p>
            <w:r>
              <w:t>FR-009</w:t>
            </w:r>
          </w:p>
        </w:tc>
        <w:tc>
          <w:tcPr>
            <w:tcW w:type="dxa" w:w="2520"/>
            <w:vAlign w:val="top"/>
          </w:tcPr>
          <w:p>
            <w:r>
              <w:t>Audit</w:t>
            </w:r>
          </w:p>
        </w:tc>
        <w:tc>
          <w:tcPr>
            <w:tcW w:type="dxa" w:w="2520"/>
            <w:vAlign w:val="top"/>
          </w:tcPr>
          <w:p>
            <w:r>
              <w:t>State-changing API operations shall record sufficient audit information to identify the authenticated user, action, target record, timestamp, and outcome.</w:t>
            </w:r>
          </w:p>
        </w:tc>
        <w:tc>
          <w:tcPr>
            <w:tcW w:type="dxa" w:w="2520"/>
            <w:vAlign w:val="top"/>
          </w:tcPr>
          <w:p>
            <w:r>
              <w:t>Must</w:t>
            </w:r>
          </w:p>
        </w:tc>
      </w:tr>
      <w:tr>
        <w:tc>
          <w:tcPr>
            <w:tcW w:type="dxa" w:w="2520"/>
            <w:vAlign w:val="top"/>
          </w:tcPr>
          <w:p>
            <w:r>
              <w:t>FR-010</w:t>
            </w:r>
          </w:p>
        </w:tc>
        <w:tc>
          <w:tcPr>
            <w:tcW w:type="dxa" w:w="2520"/>
            <w:vAlign w:val="top"/>
          </w:tcPr>
          <w:p>
            <w:r>
              <w:t>Error handling</w:t>
            </w:r>
          </w:p>
        </w:tc>
        <w:tc>
          <w:tcPr>
            <w:tcW w:type="dxa" w:w="2520"/>
            <w:vAlign w:val="top"/>
          </w:tcPr>
          <w:p>
            <w:r>
              <w:t>Blue shall return consistent machine-readable errors; Green shall translate those errors into appropriate user-facing Razor messages without exposing sensitive implementation details.</w:t>
            </w:r>
          </w:p>
        </w:tc>
        <w:tc>
          <w:tcPr>
            <w:tcW w:type="dxa" w:w="2520"/>
            <w:vAlign w:val="top"/>
          </w:tcPr>
          <w:p>
            <w:r>
              <w:t>Must</w:t>
            </w:r>
          </w:p>
        </w:tc>
      </w:tr>
      <w:tr>
        <w:tc>
          <w:tcPr>
            <w:tcW w:type="dxa" w:w="2520"/>
            <w:vAlign w:val="top"/>
          </w:tcPr>
          <w:p>
            <w:r>
              <w:t>FR-011</w:t>
            </w:r>
          </w:p>
        </w:tc>
        <w:tc>
          <w:tcPr>
            <w:tcW w:type="dxa" w:w="2520"/>
            <w:vAlign w:val="top"/>
          </w:tcPr>
          <w:p>
            <w:r>
              <w:t>Concurrency</w:t>
            </w:r>
          </w:p>
        </w:tc>
        <w:tc>
          <w:tcPr>
            <w:tcW w:type="dxa" w:w="2520"/>
            <w:vAlign w:val="top"/>
          </w:tcPr>
          <w:p>
            <w:r>
              <w:t>State-changing operations shall protect against stale updates and conflicting approvals/edits using an agreed concurrency mechanism.</w:t>
            </w:r>
          </w:p>
        </w:tc>
        <w:tc>
          <w:tcPr>
            <w:tcW w:type="dxa" w:w="2520"/>
            <w:vAlign w:val="top"/>
          </w:tcPr>
          <w:p>
            <w:r>
              <w:t>Must</w:t>
            </w:r>
          </w:p>
        </w:tc>
      </w:tr>
      <w:tr>
        <w:tc>
          <w:tcPr>
            <w:tcW w:type="dxa" w:w="2520"/>
            <w:vAlign w:val="top"/>
          </w:tcPr>
          <w:p>
            <w:r>
              <w:t>FR-012</w:t>
            </w:r>
          </w:p>
        </w:tc>
        <w:tc>
          <w:tcPr>
            <w:tcW w:type="dxa" w:w="2520"/>
            <w:vAlign w:val="top"/>
          </w:tcPr>
          <w:p>
            <w:r>
              <w:t>API resilience</w:t>
            </w:r>
          </w:p>
        </w:tc>
        <w:tc>
          <w:tcPr>
            <w:tcW w:type="dxa" w:w="2520"/>
            <w:vAlign w:val="top"/>
          </w:tcPr>
          <w:p>
            <w:r>
              <w:t>Green API clients shall define reasonable timeouts and handle transient network/API failures without silently duplicating state-changing requests.</w:t>
            </w:r>
          </w:p>
        </w:tc>
        <w:tc>
          <w:tcPr>
            <w:tcW w:type="dxa" w:w="2520"/>
            <w:vAlign w:val="top"/>
          </w:tcPr>
          <w:p>
            <w:r>
              <w:t>Must</w:t>
            </w:r>
          </w:p>
        </w:tc>
      </w:tr>
      <w:tr>
        <w:tc>
          <w:tcPr>
            <w:tcW w:type="dxa" w:w="2520"/>
            <w:vAlign w:val="top"/>
          </w:tcPr>
          <w:p>
            <w:r>
              <w:t>FR-013</w:t>
            </w:r>
          </w:p>
        </w:tc>
        <w:tc>
          <w:tcPr>
            <w:tcW w:type="dxa" w:w="2520"/>
            <w:vAlign w:val="top"/>
          </w:tcPr>
          <w:p>
            <w:r>
              <w:t>Frontend replacement</w:t>
            </w:r>
          </w:p>
        </w:tc>
        <w:tc>
          <w:tcPr>
            <w:tcW w:type="dxa" w:w="2520"/>
            <w:vAlign w:val="top"/>
          </w:tcPr>
          <w:p>
            <w:r>
              <w:t>A future Angular or modern Razor frontend shall be able to consume the same service APIs without requiring business-service redesign.</w:t>
            </w:r>
          </w:p>
        </w:tc>
        <w:tc>
          <w:tcPr>
            <w:tcW w:type="dxa" w:w="2520"/>
            <w:vAlign w:val="top"/>
          </w:tcPr>
          <w:p>
            <w:r>
              <w:t>Must</w:t>
            </w:r>
          </w:p>
        </w:tc>
      </w:tr>
      <w:tr>
        <w:tc>
          <w:tcPr>
            <w:tcW w:type="dxa" w:w="2520"/>
            <w:vAlign w:val="top"/>
          </w:tcPr>
          <w:p>
            <w:r>
              <w:t>FR-014</w:t>
            </w:r>
          </w:p>
        </w:tc>
        <w:tc>
          <w:tcPr>
            <w:tcW w:type="dxa" w:w="2520"/>
            <w:vAlign w:val="top"/>
          </w:tcPr>
          <w:p>
            <w:r>
              <w:t>Reporting coexistence</w:t>
            </w:r>
          </w:p>
        </w:tc>
        <w:tc>
          <w:tcPr>
            <w:tcW w:type="dxa" w:w="2520"/>
            <w:vAlign w:val="top"/>
          </w:tcPr>
          <w:p>
            <w:r>
              <w:t>Existing RDLC/ASPX reporting may remain on Green during early phases. Reporting replacement shall be treated as a separate discovery and migration stream.</w:t>
            </w:r>
          </w:p>
        </w:tc>
        <w:tc>
          <w:tcPr>
            <w:tcW w:type="dxa" w:w="2520"/>
            <w:vAlign w:val="top"/>
          </w:tcPr>
          <w:p>
            <w:r>
              <w:t>Must</w:t>
            </w:r>
          </w:p>
        </w:tc>
      </w:tr>
      <w:tr>
        <w:tc>
          <w:tcPr>
            <w:tcW w:type="dxa" w:w="2520"/>
            <w:vAlign w:val="top"/>
          </w:tcPr>
          <w:p>
            <w:r>
              <w:t>FR-015</w:t>
            </w:r>
          </w:p>
        </w:tc>
        <w:tc>
          <w:tcPr>
            <w:tcW w:type="dxa" w:w="2520"/>
            <w:vAlign w:val="top"/>
          </w:tcPr>
          <w:p>
            <w:r>
              <w:t>Incremental routing/cutover</w:t>
            </w:r>
          </w:p>
        </w:tc>
        <w:tc>
          <w:tcPr>
            <w:tcW w:type="dxa" w:w="2520"/>
            <w:vAlign w:val="top"/>
          </w:tcPr>
          <w:p>
            <w:r>
              <w:t>The team shall be able to migrate and release modules independently, with a documented cutover and rollback approach for each migrated capability.</w:t>
            </w:r>
          </w:p>
        </w:tc>
        <w:tc>
          <w:tcPr>
            <w:tcW w:type="dxa" w:w="2520"/>
            <w:vAlign w:val="top"/>
          </w:tcPr>
          <w:p>
            <w:r>
              <w:t>Must</w:t>
            </w:r>
          </w:p>
        </w:tc>
      </w:tr>
    </w:tbl>
    <w:p>
      <w:pPr>
        <w:pStyle w:val="Heading1"/>
      </w:pPr>
      <w:r>
        <w:t>7. Non-Functional Requirements</w:t>
      </w:r>
    </w:p>
    <w:p>
      <w:pPr>
        <w:pStyle w:val="ListBullet"/>
      </w:pPr>
      <w:r>
        <w:rPr>
          <w:b/>
        </w:rPr>
        <w:t>NFR-001 - Performance</w:t>
      </w:r>
    </w:p>
    <w:p>
      <w:pPr>
        <w:pStyle w:val="ListBullet2"/>
      </w:pPr>
      <w:r>
        <w:t>The API boundary should not materially degrade normal interactive workflows. APIs should be coarse enough to avoid excessive round trips and should return screen/use-case-oriented DTOs where appropriate.</w:t>
      </w:r>
    </w:p>
    <w:p>
      <w:pPr>
        <w:pStyle w:val="ListBullet"/>
      </w:pPr>
      <w:r>
        <w:rPr>
          <w:b/>
        </w:rPr>
        <w:t>NFR-002 - Security</w:t>
      </w:r>
    </w:p>
    <w:p>
      <w:pPr>
        <w:pStyle w:val="ListBullet2"/>
      </w:pPr>
      <w:r>
        <w:t>All service-to-service traffic must use approved encrypted transport. Authentication credentials/tokens and database credentials must follow enterprise security standards and least privilege.</w:t>
      </w:r>
    </w:p>
    <w:p>
      <w:pPr>
        <w:pStyle w:val="ListBullet"/>
      </w:pPr>
      <w:r>
        <w:rPr>
          <w:b/>
        </w:rPr>
        <w:t>NFR-003 - Reliability</w:t>
      </w:r>
    </w:p>
    <w:p>
      <w:pPr>
        <w:pStyle w:val="ListBullet2"/>
      </w:pPr>
      <w:r>
        <w:t>State-changing operations must fail safely and must not create duplicate wires, approvals, fees, or other financial state when retries occur.</w:t>
      </w:r>
    </w:p>
    <w:p>
      <w:pPr>
        <w:pStyle w:val="ListBullet"/>
      </w:pPr>
      <w:r>
        <w:rPr>
          <w:b/>
        </w:rPr>
        <w:t>NFR-004 - Observability</w:t>
      </w:r>
    </w:p>
    <w:p>
      <w:pPr>
        <w:pStyle w:val="ListBullet2"/>
      </w:pPr>
      <w:r>
        <w:t>Blue shall provide structured logging and correlation identifiers so a request can be traced from Green through the API and into database/integration operations.</w:t>
      </w:r>
    </w:p>
    <w:p>
      <w:pPr>
        <w:pStyle w:val="ListBullet"/>
      </w:pPr>
      <w:r>
        <w:rPr>
          <w:b/>
        </w:rPr>
        <w:t>NFR-005 - Maintainability</w:t>
      </w:r>
    </w:p>
    <w:p>
      <w:pPr>
        <w:pStyle w:val="ListBullet2"/>
      </w:pPr>
      <w:r>
        <w:t>API, application-service, data-access, and UI responsibilities should be independently testable and should avoid direct dependencies from the presentation layer to EF entities.</w:t>
      </w:r>
    </w:p>
    <w:p>
      <w:pPr>
        <w:pStyle w:val="ListBullet"/>
      </w:pPr>
      <w:r>
        <w:rPr>
          <w:b/>
        </w:rPr>
        <w:t>NFR-006 - Compatibility</w:t>
      </w:r>
    </w:p>
    <w:p>
      <w:pPr>
        <w:pStyle w:val="ListBullet2"/>
      </w:pPr>
      <w:r>
        <w:t>API contracts should be explicit and versionable so Green and future frontend releases can coexist during deployment windows.</w:t>
      </w:r>
    </w:p>
    <w:p>
      <w:pPr>
        <w:pStyle w:val="ListBullet"/>
      </w:pPr>
      <w:r>
        <w:rPr>
          <w:b/>
        </w:rPr>
        <w:t>NFR-007 - Availability</w:t>
      </w:r>
    </w:p>
    <w:p>
      <w:pPr>
        <w:pStyle w:val="ListBullet2"/>
      </w:pPr>
      <w:r>
        <w:t>A Blue outage must have a documented operational impact and recovery procedure for migrated Green workflows.</w:t>
      </w:r>
    </w:p>
    <w:p>
      <w:pPr>
        <w:pStyle w:val="Heading1"/>
      </w:pPr>
      <w:r>
        <w:t>8. Proposed Migration Phases</w:t>
      </w:r>
    </w:p>
    <w:p>
      <w:pPr>
        <w:pStyle w:val="Heading2"/>
      </w:pPr>
      <w:r>
        <w:t>Phase 0 - Discovery and pilot selection</w:t>
      </w:r>
    </w:p>
    <w:p>
      <w:pPr>
        <w:pStyle w:val="ListBullet"/>
      </w:pPr>
      <w:r>
        <w:t>Identify a representative medium-complexity module with meaningful business logic but limited RDLC/WebForms dependency.</w:t>
      </w:r>
    </w:p>
    <w:p>
      <w:pPr>
        <w:pStyle w:val="ListBullet"/>
      </w:pPr>
      <w:r>
        <w:t>Map its current Razor → controller → service/EF6 → SQL flow and all authorization/business-rule dependencies.</w:t>
      </w:r>
    </w:p>
    <w:p>
      <w:pPr>
        <w:pStyle w:val="ListBullet"/>
      </w:pPr>
      <w:r>
        <w:t>Define API standards, DTO conventions, authentication approach, logging/correlation, error contract, and deployment topology.</w:t>
      </w:r>
    </w:p>
    <w:p>
      <w:pPr>
        <w:pStyle w:val="Heading2"/>
      </w:pPr>
      <w:r>
        <w:t>Phase 1 - Blue platform foundation</w:t>
      </w:r>
    </w:p>
    <w:p>
      <w:pPr>
        <w:pStyle w:val="ListBullet"/>
      </w:pPr>
      <w:r>
        <w:t>Create the modern .NET Web API application and deployment pipeline.</w:t>
      </w:r>
    </w:p>
    <w:p>
      <w:pPr>
        <w:pStyle w:val="ListBullet"/>
      </w:pPr>
      <w:r>
        <w:t>Implement authentication/authorization integration, configuration, logging, health checks, API client standards, and shared error handling.</w:t>
      </w:r>
    </w:p>
    <w:p>
      <w:pPr>
        <w:pStyle w:val="ListBullet"/>
      </w:pPr>
      <w:r>
        <w:t>Establish application/service/data-access layering and EF Core conventions.</w:t>
      </w:r>
    </w:p>
    <w:p>
      <w:pPr>
        <w:pStyle w:val="Heading2"/>
      </w:pPr>
      <w:r>
        <w:t>Phase 2 - First vertical module</w:t>
      </w:r>
    </w:p>
    <w:p>
      <w:pPr>
        <w:pStyle w:val="ListBullet"/>
      </w:pPr>
      <w:r>
        <w:t>Implement permanent Blue API endpoints for the selected module.</w:t>
      </w:r>
    </w:p>
    <w:p>
      <w:pPr>
        <w:pStyle w:val="ListBullet"/>
      </w:pPr>
      <w:r>
        <w:t>Move appropriate business logic and data access into Blue.</w:t>
      </w:r>
    </w:p>
    <w:p>
      <w:pPr>
        <w:pStyle w:val="ListBullet"/>
      </w:pPr>
      <w:r>
        <w:t>Create a typed/reusable API client in Green and modify the existing MVC controller to consume Blue.</w:t>
      </w:r>
    </w:p>
    <w:p>
      <w:pPr>
        <w:pStyle w:val="ListBullet"/>
      </w:pPr>
      <w:r>
        <w:t>Keep the existing Razor page where practical so the first migration proves backend separation without requiring a UI rewrite.</w:t>
      </w:r>
    </w:p>
    <w:p>
      <w:pPr>
        <w:pStyle w:val="Heading2"/>
      </w:pPr>
      <w:r>
        <w:t>Phase 3 - Repeat module migration</w:t>
      </w:r>
    </w:p>
    <w:p>
      <w:pPr>
        <w:pStyle w:val="ListBullet"/>
      </w:pPr>
      <w:r>
        <w:t>Migrate additional modules using the proven pattern.</w:t>
      </w:r>
    </w:p>
    <w:p>
      <w:pPr>
        <w:pStyle w:val="ListBullet"/>
      </w:pPr>
      <w:r>
        <w:t>Retire direct Green EF/business dependencies for each migrated capability after cutover.</w:t>
      </w:r>
    </w:p>
    <w:p>
      <w:pPr>
        <w:pStyle w:val="ListBullet"/>
      </w:pPr>
      <w:r>
        <w:t>Continue normal enhancements in Green while directing new backend work toward Blue when it falls within migrated domains.</w:t>
      </w:r>
    </w:p>
    <w:p>
      <w:pPr>
        <w:pStyle w:val="Heading2"/>
      </w:pPr>
      <w:r>
        <w:t>Phase 4 - Frontend modernization</w:t>
      </w:r>
    </w:p>
    <w:p>
      <w:pPr>
        <w:pStyle w:val="ListBullet"/>
      </w:pPr>
      <w:r>
        <w:t>Choose modern Razor or Angular based on product UX requirements, team skills, lifecycle, and architecture goals.</w:t>
      </w:r>
    </w:p>
    <w:p>
      <w:pPr>
        <w:pStyle w:val="ListBullet"/>
      </w:pPr>
      <w:r>
        <w:t>Build the new frontend against the existing Blue APIs.</w:t>
      </w:r>
    </w:p>
    <w:p>
      <w:pPr>
        <w:pStyle w:val="ListBullet"/>
      </w:pPr>
      <w:r>
        <w:t>Reuse validated Bootstrap 5/CSS/HTML design patterns and workflows where appropriate.</w:t>
      </w:r>
    </w:p>
    <w:p>
      <w:pPr>
        <w:pStyle w:val="Heading2"/>
      </w:pPr>
      <w:r>
        <w:t>Phase 5 - Reporting modernization</w:t>
      </w:r>
    </w:p>
    <w:p>
      <w:pPr>
        <w:pStyle w:val="ListBullet"/>
      </w:pPr>
      <w:r>
        <w:t>Complete RDLC/ASPX discovery and proof of concept.</w:t>
      </w:r>
    </w:p>
    <w:p>
      <w:pPr>
        <w:pStyle w:val="ListBullet"/>
      </w:pPr>
      <w:r>
        <w:t>Select the target reporting technology/hosting model.</w:t>
      </w:r>
    </w:p>
    <w:p>
      <w:pPr>
        <w:pStyle w:val="ListBullet"/>
      </w:pPr>
      <w:r>
        <w:t>Migrate reports in complexity-based batches and retire WebForms reporting dependencies.</w:t>
      </w:r>
    </w:p>
    <w:p>
      <w:pPr>
        <w:pStyle w:val="Heading2"/>
      </w:pPr>
      <w:r>
        <w:t>Phase 6 - Legacy retirement</w:t>
      </w:r>
    </w:p>
    <w:p>
      <w:pPr>
        <w:pStyle w:val="ListBullet"/>
      </w:pPr>
      <w:r>
        <w:t>Remove remaining Green-only modules and EF6 dependencies.</w:t>
      </w:r>
    </w:p>
    <w:p>
      <w:pPr>
        <w:pStyle w:val="ListBullet"/>
      </w:pPr>
      <w:r>
        <w:t>Complete regression/UAT and operational readiness.</w:t>
      </w:r>
    </w:p>
    <w:p>
      <w:pPr>
        <w:pStyle w:val="ListBullet"/>
      </w:pPr>
      <w:r>
        <w:t>Retire the .NET Framework application after all required capabilities have cut over.</w:t>
      </w:r>
    </w:p>
    <w:p>
      <w:pPr>
        <w:pStyle w:val="Heading1"/>
      </w:pPr>
      <w:r>
        <w:t>9. Candidate Mortgage Warehouse Module Boundaries</w:t>
      </w:r>
    </w:p>
    <w:p>
      <w:pPr>
        <w:pStyle w:val="ListBullet"/>
      </w:pPr>
      <w:r>
        <w:t>Wire Intake / Wire Processing / Approval</w:t>
      </w:r>
    </w:p>
    <w:p>
      <w:pPr>
        <w:pStyle w:val="ListBullet"/>
      </w:pPr>
      <w:r>
        <w:t>Loan and Credit Line validation</w:t>
      </w:r>
    </w:p>
    <w:p>
      <w:pPr>
        <w:pStyle w:val="ListBullet"/>
      </w:pPr>
      <w:r>
        <w:t>Construction parent/child loan validation</w:t>
      </w:r>
    </w:p>
    <w:p>
      <w:pPr>
        <w:pStyle w:val="ListBullet"/>
      </w:pPr>
      <w:r>
        <w:t>Client / Broker authorization and configuration</w:t>
      </w:r>
    </w:p>
    <w:p>
      <w:pPr>
        <w:pStyle w:val="ListBullet"/>
      </w:pPr>
      <w:r>
        <w:t>Title Company processing</w:t>
      </w:r>
    </w:p>
    <w:p>
      <w:pPr>
        <w:pStyle w:val="ListBullet"/>
      </w:pPr>
      <w:r>
        <w:t>Collateral Management and Shipping</w:t>
      </w:r>
    </w:p>
    <w:p>
      <w:pPr>
        <w:pStyle w:val="ListBullet"/>
      </w:pPr>
      <w:r>
        <w:t>Curtailments / Negative Wires</w:t>
      </w:r>
    </w:p>
    <w:p>
      <w:pPr>
        <w:pStyle w:val="ListBullet"/>
      </w:pPr>
      <w:r>
        <w:t>Participation</w:t>
      </w:r>
    </w:p>
    <w:p>
      <w:pPr>
        <w:pStyle w:val="ListBullet"/>
      </w:pPr>
      <w:r>
        <w:t>Month-end processing</w:t>
      </w:r>
    </w:p>
    <w:p>
      <w:pPr>
        <w:pStyle w:val="ListBullet"/>
      </w:pPr>
      <w:r>
        <w:t>Reporting</w:t>
      </w:r>
    </w:p>
    <w:p>
      <w:pPr>
        <w:pStyle w:val="Heading1"/>
      </w:pPr>
      <w:r>
        <w:t>10. Important Design Decisions / Open Questions</w:t>
      </w:r>
    </w:p>
    <w:p>
      <w:pPr>
        <w:pStyle w:val="ListBullet"/>
      </w:pPr>
      <w:r>
        <w:t>Which business module is the safest and most representative pilot?</w:t>
      </w:r>
    </w:p>
    <w:p>
      <w:pPr>
        <w:pStyle w:val="ListBullet"/>
      </w:pPr>
      <w:r>
        <w:t>How will Green authenticate to Blue and how will the end-user identity/claims be propagated and revalidated?</w:t>
      </w:r>
    </w:p>
    <w:p>
      <w:pPr>
        <w:pStyle w:val="ListBullet"/>
      </w:pPr>
      <w:r>
        <w:t>Will Blue and Green share the existing SQL database throughout transition, and which application owns writes for each migrated table/domain?</w:t>
      </w:r>
    </w:p>
    <w:p>
      <w:pPr>
        <w:pStyle w:val="ListBullet"/>
      </w:pPr>
      <w:r>
        <w:t>How will cross-module transactions be handled when one part of a workflow is Green and another is Blue?</w:t>
      </w:r>
    </w:p>
    <w:p>
      <w:pPr>
        <w:pStyle w:val="ListBullet"/>
      </w:pPr>
      <w:r>
        <w:t>Which existing stored procedures remain authoritative and which data access should move to EF Core?</w:t>
      </w:r>
    </w:p>
    <w:p>
      <w:pPr>
        <w:pStyle w:val="ListBullet"/>
      </w:pPr>
      <w:r>
        <w:t>What API versioning and backward-compatibility policy is required during staggered deployments?</w:t>
      </w:r>
    </w:p>
    <w:p>
      <w:pPr>
        <w:pStyle w:val="ListBullet"/>
      </w:pPr>
      <w:r>
        <w:t>What is the target frontend after backend separation: modern Razor, Angular, or a phased combination?</w:t>
      </w:r>
    </w:p>
    <w:p>
      <w:pPr>
        <w:pStyle w:val="ListBullet"/>
      </w:pPr>
      <w:r>
        <w:t>What is the approved long-term replacement/hosting approach for RDLC and ASPX reports?</w:t>
      </w:r>
    </w:p>
    <w:p>
      <w:pPr>
        <w:pStyle w:val="Heading1"/>
      </w:pPr>
      <w:r>
        <w:t>11. Out of Scope for Initial API-First Phase</w:t>
      </w:r>
    </w:p>
    <w:p>
      <w:pPr>
        <w:pStyle w:val="ListBullet"/>
      </w:pPr>
      <w:r>
        <w:t>Immediate conversion of all approximately 100 Razor pages.</w:t>
      </w:r>
    </w:p>
    <w:p>
      <w:pPr>
        <w:pStyle w:val="ListBullet"/>
      </w:pPr>
      <w:r>
        <w:t>Immediate conversion of all approximately 40 controllers.</w:t>
      </w:r>
    </w:p>
    <w:p>
      <w:pPr>
        <w:pStyle w:val="ListBullet"/>
      </w:pPr>
      <w:r>
        <w:t>Immediate migration of all EF6 code to EF Core.</w:t>
      </w:r>
    </w:p>
    <w:p>
      <w:pPr>
        <w:pStyle w:val="ListBullet"/>
      </w:pPr>
      <w:r>
        <w:t>Immediate replacement of all approximately 50 RDLC/ASPX reports.</w:t>
      </w:r>
    </w:p>
    <w:p>
      <w:pPr>
        <w:pStyle w:val="ListBullet"/>
      </w:pPr>
      <w:r>
        <w:t>Immediate Angular implementation before the backend service boundary is proven.</w:t>
      </w:r>
    </w:p>
    <w:p>
      <w:pPr>
        <w:pStyle w:val="ListBullet"/>
      </w:pPr>
      <w:r>
        <w:t>A single big-bang production cutover.</w:t>
      </w:r>
    </w:p>
    <w:p>
      <w:pPr>
        <w:pStyle w:val="Heading1"/>
      </w:pPr>
      <w:r>
        <w:t>12. Acceptance Criteria for the Pilot</w:t>
      </w:r>
    </w:p>
    <w:p>
      <w:pPr>
        <w:pStyle w:val="ListBullet"/>
      </w:pPr>
      <w:r>
        <w:t>The selected Green Razor workflow continues to provide the expected user experience.</w:t>
      </w:r>
    </w:p>
    <w:p>
      <w:pPr>
        <w:pStyle w:val="ListBullet"/>
      </w:pPr>
      <w:r>
        <w:t>The Green controller retrieves or changes migrated business data through Blue rather than directly executing the migrated business/data logic.</w:t>
      </w:r>
    </w:p>
    <w:p>
      <w:pPr>
        <w:pStyle w:val="ListBullet"/>
      </w:pPr>
      <w:r>
        <w:t>Blue independently validates authorization and business rules.</w:t>
      </w:r>
    </w:p>
    <w:p>
      <w:pPr>
        <w:pStyle w:val="ListBullet"/>
      </w:pPr>
      <w:r>
        <w:t>The migrated module's success, validation failures, exceptions, and audit activity are observable end-to-end.</w:t>
      </w:r>
    </w:p>
    <w:p>
      <w:pPr>
        <w:pStyle w:val="ListBullet"/>
      </w:pPr>
      <w:r>
        <w:t>Performance is acceptable for normal user interaction and no excessive/chatty API pattern is introduced.</w:t>
      </w:r>
    </w:p>
    <w:p>
      <w:pPr>
        <w:pStyle w:val="ListBullet"/>
      </w:pPr>
      <w:r>
        <w:t>A rollback/cutover procedure is documented and successfully exercised in a non-production environment.</w:t>
      </w:r>
    </w:p>
    <w:p>
      <w:pPr>
        <w:pStyle w:val="ListBullet"/>
      </w:pPr>
      <w:r>
        <w:t>The API can be demonstrated independently of Razor, proving that a future Angular or other frontend can consume it.</w:t>
      </w:r>
    </w:p>
    <w:p>
      <w:pPr>
        <w:pStyle w:val="ListBullet"/>
      </w:pPr>
      <w:r>
        <w:t>Lessons from the pilot are documented and used to refine story-point estimates for subsequent modules.</w:t>
      </w:r>
    </w:p>
    <w:p>
      <w:pPr>
        <w:pStyle w:val="Heading1"/>
      </w:pPr>
      <w:r>
        <w:t>13. Risks and Mitigations</w:t>
      </w:r>
    </w:p>
    <w:p>
      <w:pPr>
        <w:pStyle w:val="ListBullet"/>
      </w:pPr>
      <w:r>
        <w:rPr>
          <w:b/>
        </w:rPr>
        <w:t>Duplicate business logic</w:t>
      </w:r>
    </w:p>
    <w:p>
      <w:pPr>
        <w:pStyle w:val="ListBullet2"/>
      </w:pPr>
      <w:r>
        <w:t>Avoid implementing the same validation independently in Green and Blue. Establish module ownership at cutover.</w:t>
      </w:r>
    </w:p>
    <w:p>
      <w:pPr>
        <w:pStyle w:val="ListBullet"/>
      </w:pPr>
      <w:r>
        <w:rPr>
          <w:b/>
        </w:rPr>
        <w:t>Shared database coupling</w:t>
      </w:r>
    </w:p>
    <w:p>
      <w:pPr>
        <w:pStyle w:val="ListBullet2"/>
      </w:pPr>
      <w:r>
        <w:t>Define write ownership and schema-change coordination; avoid both applications independently changing the same domain rules.</w:t>
      </w:r>
    </w:p>
    <w:p>
      <w:pPr>
        <w:pStyle w:val="ListBullet"/>
      </w:pPr>
      <w:r>
        <w:rPr>
          <w:b/>
        </w:rPr>
        <w:t>Chatty APIs</w:t>
      </w:r>
    </w:p>
    <w:p>
      <w:pPr>
        <w:pStyle w:val="ListBullet2"/>
      </w:pPr>
      <w:r>
        <w:t>Design endpoints around business use cases and screen needs rather than exposing one endpoint per database table.</w:t>
      </w:r>
    </w:p>
    <w:p>
      <w:pPr>
        <w:pStyle w:val="ListBullet"/>
      </w:pPr>
      <w:r>
        <w:rPr>
          <w:b/>
        </w:rPr>
        <w:t>Distributed failure modes</w:t>
      </w:r>
    </w:p>
    <w:p>
      <w:pPr>
        <w:pStyle w:val="ListBullet2"/>
      </w:pPr>
      <w:r>
        <w:t>Use timeouts, correlation IDs, safe retry policies, and idempotency/concurrency controls for financial state changes.</w:t>
      </w:r>
    </w:p>
    <w:p>
      <w:pPr>
        <w:pStyle w:val="ListBullet"/>
      </w:pPr>
      <w:r>
        <w:rPr>
          <w:b/>
        </w:rPr>
        <w:t>Authentication complexity</w:t>
      </w:r>
    </w:p>
    <w:p>
      <w:pPr>
        <w:pStyle w:val="ListBullet2"/>
      </w:pPr>
      <w:r>
        <w:t>Prototype identity propagation and authorization early rather than treating security as a late integration task.</w:t>
      </w:r>
    </w:p>
    <w:p>
      <w:pPr>
        <w:pStyle w:val="ListBullet"/>
      </w:pPr>
      <w:r>
        <w:rPr>
          <w:b/>
        </w:rPr>
        <w:t>Migration becoming a second full product</w:t>
      </w:r>
    </w:p>
    <w:p>
      <w:pPr>
        <w:pStyle w:val="ListBullet2"/>
      </w:pPr>
      <w:r>
        <w:t>Migrate vertically and release incrementally; do not spend months building every API before delivering the first module.</w:t>
      </w:r>
    </w:p>
    <w:p>
      <w:pPr>
        <w:pStyle w:val="ListBullet"/>
      </w:pPr>
      <w:r>
        <w:rPr>
          <w:b/>
        </w:rPr>
        <w:t>RDLC uncertainty</w:t>
      </w:r>
    </w:p>
    <w:p>
      <w:pPr>
        <w:pStyle w:val="ListBullet2"/>
      </w:pPr>
      <w:r>
        <w:t>Keep reporting isolated initially and run a dedicated discovery/POC before committing to replacement estimates.</w:t>
      </w:r>
    </w:p>
    <w:p>
      <w:pPr>
        <w:pStyle w:val="Heading1"/>
      </w:pPr>
      <w:r>
        <w:t>14. Planning / Estimation Position</w:t>
      </w:r>
    </w:p>
    <w:p>
      <w:r>
        <w:t>This FRD defines the target functional architecture and phased approach; it is not a final project estimate. Jira estimates should be created module by module after dependency discovery. The existing migration estimate and contingency should be revisited because API-first vertical migration introduces additional API/platform work but reduces big-bang cutover risk and allows useful functionality to ship throughout the program.</w:t>
      </w:r>
    </w:p>
    <w:p>
      <w:pPr>
        <w:pStyle w:val="ListBullet"/>
      </w:pPr>
      <w:r>
        <w:t>Create a separate platform/foundation epic.</w:t>
      </w:r>
    </w:p>
    <w:p>
      <w:pPr>
        <w:pStyle w:val="ListBullet"/>
      </w:pPr>
      <w:r>
        <w:t>Create one pilot-module epic covering API, service, EF/data work, Green API client/controller adaptation, security, logging, and deployment.</w:t>
      </w:r>
    </w:p>
    <w:p>
      <w:pPr>
        <w:pStyle w:val="ListBullet"/>
      </w:pPr>
      <w:r>
        <w:t>Estimate subsequent modules only after the pilot establishes an evidence-based pattern.</w:t>
      </w:r>
    </w:p>
    <w:p>
      <w:pPr>
        <w:pStyle w:val="ListBullet"/>
      </w:pPr>
      <w:r>
        <w:t>Maintain explicit contingency for unresolved RDLC/WebForms and cross-module dependency risks.</w:t>
      </w:r>
    </w:p>
    <w:p>
      <w:pPr>
        <w:pStyle w:val="ListBullet"/>
      </w:pPr>
      <w:r>
        <w:t>Keep QA, regression, UAT, stabilization, infrastructure/security review, and deployment effort visible rather than hiding them inside development points.</w:t>
      </w:r>
    </w:p>
    <w:p>
      <w:pPr>
        <w:pStyle w:val="Heading1"/>
      </w:pPr>
      <w:r>
        <w:t>15. Recommended Decision Statement</w:t>
      </w:r>
    </w:p>
    <w:p>
      <w:r>
        <w:rPr>
          <w:b/>
        </w:rPr>
        <w:t>Proceed with an API-first incremental modernization. Keep the existing Razor/.NET Framework application operational as Green, create the permanent modern .NET backend as Blue, and migrate business capabilities vertically. Green may consume Blue APIs during transition. This decouples backend modernization from the final frontend choice and preserves the option to continue with Razor or adopt Angular later without rebuilding migrated business services.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Mortgage Warehouse Modernization FRD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