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bookmarkStart w:id="0" w:name="__DdeLink__33_2001932627"/>
      <w:bookmarkEnd w:id="0"/>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This allowed for a larger jump block for us, </w:t>
      </w:r>
    </w:p>
    <w:p>
      <w:pPr>
        <w:pStyle w:val="Normal"/>
        <w:spacing w:before="0" w:after="0"/>
        <w:rPr>
          <w:rFonts w:ascii="Arial" w:hAnsi="Arial"/>
          <w:sz w:val="28"/>
          <w:szCs w:val="28"/>
        </w:rPr>
      </w:pPr>
      <w:r>
        <w:rPr>
          <w:b w:val="false"/>
          <w:bCs w:val="false"/>
        </w:rPr>
      </w:r>
    </w:p>
    <w:p>
      <w:pPr>
        <w:pStyle w:val="Normal"/>
        <w:spacing w:before="0" w:after="0"/>
        <w:rPr>
          <w:b w:val="false"/>
          <w:b w:val="false"/>
          <w:bCs w:val="false"/>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which will look like this:</w:t>
      </w:r>
    </w:p>
    <w:tbl>
      <w:tblPr>
        <w:tblW w:w="6930" w:type="dxa"/>
        <w:jc w:val="left"/>
        <w:tblInd w:w="16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70"/>
        <w:gridCol w:w="2490"/>
        <w:gridCol w:w="2505"/>
        <w:gridCol w:w="1065"/>
      </w:tblGrid>
      <w:tr>
        <w:trPr/>
        <w:tc>
          <w:tcPr>
            <w:tcW w:w="8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spacing w:before="0" w:after="0"/>
        <w:rPr>
          <w:rFonts w:ascii="Arial" w:hAnsi="Arial"/>
          <w:sz w:val="28"/>
          <w:szCs w:val="28"/>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2</Pages>
  <Words>589</Words>
  <Characters>3058</Characters>
  <CharactersWithSpaces>3628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2017-01-12T19:19:31Z</dcterms:modified>
  <cp:revision>4</cp:revision>
  <dc:subject/>
  <dc:title/>
</cp:coreProperties>
</file>