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EC24E" w14:textId="77777777" w:rsidR="00122016" w:rsidRDefault="00122016" w:rsidP="00122016">
      <w:pPr>
        <w:pStyle w:val="RTBTitle"/>
        <w:adjustRightInd/>
        <w:snapToGrid w:val="0"/>
        <w:spacing w:line="240" w:lineRule="auto"/>
        <w:jc w:val="left"/>
        <w:rPr>
          <w:rFonts w:ascii="Times New Roman" w:hAnsi="Times New Roman"/>
          <w:b w:val="0"/>
          <w:caps w:val="0"/>
          <w:szCs w:val="24"/>
        </w:rPr>
      </w:pPr>
      <w:r>
        <w:rPr>
          <w:rFonts w:ascii="Times New Roman" w:hAnsi="Times New Roman"/>
          <w:b w:val="0"/>
          <w:caps w:val="0"/>
          <w:szCs w:val="24"/>
        </w:rPr>
        <w:t>Q1: Under what circumstances and to what extent the Sellers are responsible for a breach of representations and warranties?</w:t>
      </w:r>
    </w:p>
    <w:p w14:paraId="4B7BF420" w14:textId="4469F240" w:rsidR="00444E45" w:rsidRDefault="00122016" w:rsidP="00444E45">
      <w:pPr>
        <w:pStyle w:val="RTBTitle"/>
        <w:adjustRightInd/>
        <w:snapToGrid w:val="0"/>
        <w:spacing w:line="240" w:lineRule="auto"/>
        <w:jc w:val="left"/>
        <w:rPr>
          <w:rFonts w:ascii="Times New Roman" w:hAnsi="Times New Roman"/>
          <w:b w:val="0"/>
          <w:caps w:val="0"/>
          <w:szCs w:val="24"/>
        </w:rPr>
      </w:pPr>
      <w:r>
        <w:rPr>
          <w:rFonts w:ascii="Times New Roman" w:hAnsi="Times New Roman"/>
          <w:b w:val="0"/>
          <w:caps w:val="0"/>
          <w:szCs w:val="24"/>
        </w:rPr>
        <w:t xml:space="preserve">A1: </w:t>
      </w:r>
      <w:r w:rsidRPr="00AB6F0A">
        <w:rPr>
          <w:rFonts w:ascii="Times New Roman" w:hAnsi="Times New Roman"/>
          <w:b w:val="0"/>
          <w:caps w:val="0"/>
          <w:szCs w:val="24"/>
        </w:rPr>
        <w:t xml:space="preserve"> </w:t>
      </w:r>
      <w:r>
        <w:rPr>
          <w:rFonts w:ascii="Times New Roman" w:hAnsi="Times New Roman"/>
          <w:b w:val="0"/>
          <w:caps w:val="0"/>
          <w:szCs w:val="24"/>
        </w:rPr>
        <w:t>Except in the case of fraud, the Sellers have no liability for breach of representations and warranties (See section 10.01)</w:t>
      </w:r>
    </w:p>
    <w:p w14:paraId="2F7F6342" w14:textId="1DCBA0C1" w:rsidR="00444E45" w:rsidRDefault="00766F88" w:rsidP="00EC458B">
      <w:pPr>
        <w:pStyle w:val="RSBSubtitle"/>
        <w:ind w:firstLine="720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Q1a</w:t>
      </w:r>
      <w:r w:rsidR="00444E45">
        <w:rPr>
          <w:rFonts w:ascii="Times New Roman" w:hAnsi="Times New Roman"/>
          <w:b w:val="0"/>
          <w:szCs w:val="24"/>
        </w:rPr>
        <w:t xml:space="preserve">: Would the Sellers be responsible if after the closing it is </w:t>
      </w:r>
      <w:r w:rsidR="00EC458B">
        <w:rPr>
          <w:rFonts w:ascii="Times New Roman" w:hAnsi="Times New Roman"/>
          <w:b w:val="0"/>
          <w:szCs w:val="24"/>
        </w:rPr>
        <w:t>determined</w:t>
      </w:r>
      <w:r w:rsidR="00444E45">
        <w:rPr>
          <w:rFonts w:ascii="Times New Roman" w:hAnsi="Times New Roman"/>
          <w:b w:val="0"/>
          <w:szCs w:val="24"/>
        </w:rPr>
        <w:t xml:space="preserve"> that there were </w:t>
      </w:r>
      <w:r w:rsidR="00EC458B">
        <w:rPr>
          <w:rFonts w:ascii="Times New Roman" w:hAnsi="Times New Roman"/>
          <w:b w:val="0"/>
          <w:szCs w:val="24"/>
        </w:rPr>
        <w:t>inaccuracies</w:t>
      </w:r>
      <w:r w:rsidR="00444E45">
        <w:rPr>
          <w:rFonts w:ascii="Times New Roman" w:hAnsi="Times New Roman"/>
          <w:b w:val="0"/>
          <w:szCs w:val="24"/>
        </w:rPr>
        <w:t xml:space="preserve"> in the representation provided by them where such </w:t>
      </w:r>
      <w:r w:rsidR="00EC458B">
        <w:rPr>
          <w:rFonts w:ascii="Times New Roman" w:hAnsi="Times New Roman"/>
          <w:b w:val="0"/>
          <w:szCs w:val="24"/>
        </w:rPr>
        <w:t>inaccuracies</w:t>
      </w:r>
      <w:r w:rsidR="00444E45">
        <w:rPr>
          <w:rFonts w:ascii="Times New Roman" w:hAnsi="Times New Roman"/>
          <w:b w:val="0"/>
          <w:szCs w:val="24"/>
        </w:rPr>
        <w:t xml:space="preserve"> are the </w:t>
      </w:r>
      <w:r w:rsidR="00EC458B">
        <w:rPr>
          <w:rFonts w:ascii="Times New Roman" w:hAnsi="Times New Roman"/>
          <w:b w:val="0"/>
          <w:szCs w:val="24"/>
        </w:rPr>
        <w:t>resolute</w:t>
      </w:r>
      <w:r w:rsidR="00444E45">
        <w:rPr>
          <w:rFonts w:ascii="Times New Roman" w:hAnsi="Times New Roman"/>
          <w:b w:val="0"/>
          <w:szCs w:val="24"/>
        </w:rPr>
        <w:t xml:space="preserve"> of the Sellers’ gross negligence? </w:t>
      </w:r>
    </w:p>
    <w:p w14:paraId="3CAB6010" w14:textId="21D4FA09" w:rsidR="00444E45" w:rsidRPr="00444E45" w:rsidRDefault="00444E45" w:rsidP="00444E45">
      <w:pPr>
        <w:pStyle w:val="RHDPara12D"/>
      </w:pPr>
      <w:r>
        <w:t></w:t>
      </w:r>
      <w:r w:rsidR="00766F88">
        <w:t></w:t>
      </w:r>
      <w:r w:rsidR="00766F88" w:rsidRPr="00766F88">
        <w:rPr>
          <w:rFonts w:ascii="Times New Roman" w:hAnsi="Times New Roman"/>
          <w:szCs w:val="24"/>
        </w:rPr>
        <w:t>a</w:t>
      </w:r>
      <w:r>
        <w:t></w:t>
      </w:r>
      <w:r>
        <w:t></w:t>
      </w:r>
      <w:r>
        <w:t></w:t>
      </w:r>
      <w:r>
        <w:t></w:t>
      </w:r>
      <w:r>
        <w:t></w:t>
      </w:r>
    </w:p>
    <w:p w14:paraId="1A3E5F2E" w14:textId="77777777" w:rsidR="00122016" w:rsidRDefault="00122016" w:rsidP="00122016">
      <w:pPr>
        <w:pStyle w:val="RTBTitle"/>
        <w:adjustRightInd/>
        <w:snapToGrid w:val="0"/>
        <w:spacing w:line="240" w:lineRule="auto"/>
        <w:jc w:val="left"/>
        <w:rPr>
          <w:rFonts w:ascii="Times New Roman" w:hAnsi="Times New Roman"/>
          <w:b w:val="0"/>
          <w:caps w:val="0"/>
          <w:szCs w:val="24"/>
        </w:rPr>
      </w:pPr>
      <w:r>
        <w:rPr>
          <w:rFonts w:ascii="Times New Roman" w:hAnsi="Times New Roman"/>
          <w:b w:val="0"/>
          <w:caps w:val="0"/>
          <w:szCs w:val="24"/>
        </w:rPr>
        <w:t>Q2:   How much is the escrow amount?</w:t>
      </w:r>
    </w:p>
    <w:p w14:paraId="65D6302A" w14:textId="47A049EB" w:rsidR="00122016" w:rsidRDefault="00122016" w:rsidP="00122016">
      <w:pPr>
        <w:pStyle w:val="RSBSubtitle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A2: The escrow amo</w:t>
      </w:r>
      <w:r w:rsidRPr="00B04B0A">
        <w:rPr>
          <w:rFonts w:ascii="Times New Roman" w:hAnsi="Times New Roman"/>
          <w:b w:val="0"/>
          <w:szCs w:val="24"/>
        </w:rPr>
        <w:t xml:space="preserve">unt is </w:t>
      </w:r>
      <w:r>
        <w:rPr>
          <w:rFonts w:ascii="Times New Roman" w:hAnsi="Times New Roman"/>
          <w:b w:val="0"/>
          <w:szCs w:val="24"/>
        </w:rPr>
        <w:t>e</w:t>
      </w:r>
      <w:r w:rsidR="00EA0F97">
        <w:rPr>
          <w:rFonts w:ascii="Times New Roman" w:hAnsi="Times New Roman"/>
          <w:b w:val="0"/>
          <w:szCs w:val="24"/>
        </w:rPr>
        <w:t>qual to $1</w:t>
      </w:r>
      <w:r w:rsidRPr="00B04B0A">
        <w:rPr>
          <w:rFonts w:ascii="Times New Roman" w:hAnsi="Times New Roman"/>
          <w:b w:val="0"/>
          <w:szCs w:val="24"/>
        </w:rPr>
        <w:t>,000,000</w:t>
      </w:r>
      <w:r w:rsidR="00EC458B">
        <w:rPr>
          <w:rFonts w:ascii="Times New Roman" w:hAnsi="Times New Roman"/>
          <w:b w:val="0"/>
          <w:szCs w:val="24"/>
        </w:rPr>
        <w:t>.</w:t>
      </w:r>
    </w:p>
    <w:p w14:paraId="5948598D" w14:textId="4395A565" w:rsidR="00EC458B" w:rsidRPr="00EC458B" w:rsidRDefault="00EC458B" w:rsidP="00EC458B">
      <w:pPr>
        <w:pStyle w:val="RHDPara12D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</w:t>
      </w:r>
      <w:r w:rsidR="00766F88">
        <w:rPr>
          <w:rFonts w:ascii="Times New Roman" w:hAnsi="Times New Roman"/>
          <w:szCs w:val="24"/>
        </w:rPr>
        <w:t>2a</w:t>
      </w:r>
      <w:r w:rsidRPr="00EC458B">
        <w:rPr>
          <w:rFonts w:ascii="Times New Roman" w:hAnsi="Times New Roman"/>
          <w:szCs w:val="24"/>
        </w:rPr>
        <w:t>: I</w:t>
      </w:r>
      <w:r>
        <w:rPr>
          <w:rFonts w:ascii="Times New Roman" w:hAnsi="Times New Roman"/>
          <w:szCs w:val="24"/>
        </w:rPr>
        <w:t>s escrow amount grete then the Rete</w:t>
      </w:r>
      <w:r w:rsidRPr="00EC458B">
        <w:rPr>
          <w:rFonts w:ascii="Times New Roman" w:hAnsi="Times New Roman"/>
          <w:szCs w:val="24"/>
        </w:rPr>
        <w:t>n</w:t>
      </w:r>
      <w:r>
        <w:rPr>
          <w:rFonts w:ascii="Times New Roman" w:hAnsi="Times New Roman"/>
          <w:szCs w:val="24"/>
        </w:rPr>
        <w:t>tion A</w:t>
      </w:r>
      <w:r w:rsidRPr="00EC458B">
        <w:rPr>
          <w:rFonts w:ascii="Times New Roman" w:hAnsi="Times New Roman"/>
          <w:szCs w:val="24"/>
        </w:rPr>
        <w:t>moun</w:t>
      </w:r>
      <w:r>
        <w:rPr>
          <w:rFonts w:ascii="Times New Roman" w:hAnsi="Times New Roman"/>
          <w:szCs w:val="24"/>
        </w:rPr>
        <w:t>t</w:t>
      </w:r>
      <w:r w:rsidRPr="00EC458B">
        <w:rPr>
          <w:rFonts w:ascii="Times New Roman" w:hAnsi="Times New Roman"/>
          <w:szCs w:val="24"/>
        </w:rPr>
        <w:t xml:space="preserve"> ?</w:t>
      </w:r>
    </w:p>
    <w:p w14:paraId="6B409216" w14:textId="648ED2F2" w:rsidR="00EC458B" w:rsidRPr="00EC458B" w:rsidRDefault="00EC458B" w:rsidP="00EC458B">
      <w:pPr>
        <w:pStyle w:val="RHDPara12D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</w:t>
      </w:r>
      <w:r w:rsidR="00766F88">
        <w:rPr>
          <w:rFonts w:ascii="Times New Roman" w:hAnsi="Times New Roman"/>
          <w:szCs w:val="24"/>
        </w:rPr>
        <w:t>2a</w:t>
      </w:r>
      <w:r>
        <w:rPr>
          <w:rFonts w:ascii="Times New Roman" w:hAnsi="Times New Roman"/>
          <w:szCs w:val="24"/>
        </w:rPr>
        <w:t>: N</w:t>
      </w:r>
      <w:r w:rsidRPr="00EC458B">
        <w:rPr>
          <w:rFonts w:ascii="Times New Roman" w:hAnsi="Times New Roman"/>
          <w:szCs w:val="24"/>
        </w:rPr>
        <w:t>o</w:t>
      </w:r>
      <w:r>
        <w:rPr>
          <w:rFonts w:ascii="Times New Roman" w:hAnsi="Times New Roman"/>
          <w:szCs w:val="24"/>
        </w:rPr>
        <w:t>.</w:t>
      </w:r>
      <w:r w:rsidRPr="00EC458B">
        <w:rPr>
          <w:rFonts w:ascii="Times New Roman" w:hAnsi="Times New Roman"/>
          <w:szCs w:val="24"/>
        </w:rPr>
        <w:t xml:space="preserve"> </w:t>
      </w:r>
    </w:p>
    <w:p w14:paraId="6502ADE5" w14:textId="77777777" w:rsidR="00122016" w:rsidRDefault="00122016" w:rsidP="00122016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Q3: What is the purpose of the escrow? </w:t>
      </w:r>
    </w:p>
    <w:p w14:paraId="32D626F3" w14:textId="31EB0F56" w:rsidR="00122016" w:rsidRDefault="00122016" w:rsidP="00122016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A3: To serv</w:t>
      </w:r>
      <w:r w:rsidR="00EA0F97">
        <w:rPr>
          <w:rFonts w:ascii="Times New Roman" w:hAnsi="Times New Roman"/>
          <w:szCs w:val="24"/>
        </w:rPr>
        <w:t>e as a recourse of the Buyer</w:t>
      </w:r>
      <w:r>
        <w:rPr>
          <w:rFonts w:ascii="Times New Roman" w:hAnsi="Times New Roman"/>
          <w:szCs w:val="24"/>
        </w:rPr>
        <w:t xml:space="preserve"> in case of post-closing ad</w:t>
      </w:r>
      <w:r w:rsidR="008143B5">
        <w:rPr>
          <w:rFonts w:ascii="Times New Roman" w:hAnsi="Times New Roman"/>
          <w:szCs w:val="24"/>
        </w:rPr>
        <w:t>justments of the purchase price</w:t>
      </w:r>
      <w:r w:rsidR="008143B5">
        <w:rPr>
          <w:rFonts w:ascii="Times New Roman" w:hAnsi="Times New Roman"/>
          <w:szCs w:val="24"/>
          <w:lang w:bidi="he-IL"/>
        </w:rPr>
        <w:t>.</w:t>
      </w:r>
      <w:r>
        <w:rPr>
          <w:rFonts w:ascii="Times New Roman" w:hAnsi="Times New Roman"/>
          <w:szCs w:val="24"/>
        </w:rPr>
        <w:t xml:space="preserve"> (See section 2.07(e))</w:t>
      </w:r>
      <w:r w:rsidR="00EC458B">
        <w:rPr>
          <w:rFonts w:ascii="Times New Roman" w:hAnsi="Times New Roman"/>
          <w:szCs w:val="24"/>
        </w:rPr>
        <w:t>.</w:t>
      </w:r>
    </w:p>
    <w:p w14:paraId="2BFD5D25" w14:textId="7550CAD9" w:rsidR="00EC458B" w:rsidRDefault="00766F88" w:rsidP="00122016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Q3a</w:t>
      </w:r>
      <w:r w:rsidR="00EC458B">
        <w:rPr>
          <w:rFonts w:ascii="Times New Roman" w:hAnsi="Times New Roman"/>
          <w:szCs w:val="24"/>
        </w:rPr>
        <w:t>: May the Escrow Amount serve as a recourse for the Buyer in case of breach of representations by the Company?</w:t>
      </w:r>
    </w:p>
    <w:p w14:paraId="4E91DE33" w14:textId="5DF72714" w:rsidR="00EC458B" w:rsidRDefault="00766F88" w:rsidP="00122016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A3a</w:t>
      </w:r>
      <w:r w:rsidR="00EC458B">
        <w:rPr>
          <w:rFonts w:ascii="Times New Roman" w:hAnsi="Times New Roman"/>
          <w:szCs w:val="24"/>
        </w:rPr>
        <w:t>: No</w:t>
      </w:r>
    </w:p>
    <w:p w14:paraId="5CA0FC50" w14:textId="77777777" w:rsidR="00122016" w:rsidRDefault="00122016" w:rsidP="00122016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Q4:  Are there any conditions to the closing?</w:t>
      </w:r>
    </w:p>
    <w:p w14:paraId="26FC6035" w14:textId="5D3BE776" w:rsidR="00122016" w:rsidRDefault="00122016" w:rsidP="00122016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A4: No, as the signi</w:t>
      </w:r>
      <w:r w:rsidR="008143B5">
        <w:rPr>
          <w:rFonts w:ascii="Times New Roman" w:hAnsi="Times New Roman"/>
          <w:szCs w:val="24"/>
        </w:rPr>
        <w:t>ng and closing are simultaneous.</w:t>
      </w:r>
    </w:p>
    <w:p w14:paraId="447E52DD" w14:textId="0A7B7588" w:rsidR="008143B5" w:rsidRDefault="008143B5" w:rsidP="008143B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Q5: Are Change of Control Payments considered a Seller Transaction Expense? </w:t>
      </w:r>
    </w:p>
    <w:p w14:paraId="0D86DA91" w14:textId="6BAC8940" w:rsidR="008143B5" w:rsidRDefault="008143B5" w:rsidP="008143B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A5: Yes. (See defining of Sellers Transaction Expenses).</w:t>
      </w:r>
    </w:p>
    <w:p w14:paraId="31ACE0FE" w14:textId="6AC4C5A0" w:rsidR="008143B5" w:rsidRDefault="008143B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Q6: </w:t>
      </w:r>
      <w:r w:rsidR="003557C5">
        <w:rPr>
          <w:rFonts w:ascii="Times New Roman" w:hAnsi="Times New Roman"/>
          <w:szCs w:val="24"/>
        </w:rPr>
        <w:t xml:space="preserve">Would the aggregate amount payable by the Buyer to the Sellers be affected if it is determined that </w:t>
      </w:r>
      <w:r>
        <w:rPr>
          <w:rFonts w:ascii="Times New Roman" w:hAnsi="Times New Roman"/>
          <w:szCs w:val="24"/>
        </w:rPr>
        <w:t xml:space="preserve">the </w:t>
      </w:r>
      <w:r w:rsidR="003557C5">
        <w:rPr>
          <w:rFonts w:ascii="Times New Roman" w:hAnsi="Times New Roman"/>
          <w:szCs w:val="24"/>
        </w:rPr>
        <w:t xml:space="preserve">actual </w:t>
      </w:r>
      <w:r>
        <w:rPr>
          <w:rFonts w:ascii="Times New Roman" w:hAnsi="Times New Roman"/>
          <w:szCs w:val="24"/>
        </w:rPr>
        <w:t>Closing Debt Amount</w:t>
      </w:r>
      <w:r w:rsidR="003557C5">
        <w:rPr>
          <w:rFonts w:ascii="Times New Roman" w:hAnsi="Times New Roman"/>
          <w:szCs w:val="24"/>
        </w:rPr>
        <w:t xml:space="preserve"> is greater the estimated Closing Debut Amount?</w:t>
      </w:r>
    </w:p>
    <w:p w14:paraId="6F8C0C67" w14:textId="054F9869" w:rsidR="003557C5" w:rsidRDefault="003557C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A6: Yes (See Section 2.07)</w:t>
      </w:r>
    </w:p>
    <w:p w14:paraId="1E842D87" w14:textId="698E2BBB" w:rsidR="003557C5" w:rsidRDefault="003557C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Q7: Do</w:t>
      </w:r>
      <w:r w:rsidR="00766F88">
        <w:rPr>
          <w:rFonts w:ascii="Times New Roman" w:hAnsi="Times New Roman"/>
          <w:szCs w:val="24"/>
        </w:rPr>
        <w:t>es the Buyer need</w:t>
      </w:r>
      <w:bookmarkStart w:id="0" w:name="_GoBack"/>
      <w:bookmarkEnd w:id="0"/>
      <w:r>
        <w:rPr>
          <w:rFonts w:ascii="Times New Roman" w:hAnsi="Times New Roman"/>
          <w:szCs w:val="24"/>
        </w:rPr>
        <w:t xml:space="preserve"> to pay the Employees Closing Bonus Amount directly to the Company’s employees?</w:t>
      </w:r>
    </w:p>
    <w:p w14:paraId="19DE6EDB" w14:textId="20AF7180" w:rsidR="003557C5" w:rsidRDefault="003557C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A7: No. (See Section 2.10)  </w:t>
      </w:r>
    </w:p>
    <w:p w14:paraId="294E852D" w14:textId="63B362A5" w:rsidR="003557C5" w:rsidRDefault="003557C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Q8: Does any of the Sellers provide a representation with respect to any Tax matters related to the Company?</w:t>
      </w:r>
    </w:p>
    <w:p w14:paraId="7F00FB3D" w14:textId="3C23862B" w:rsidR="003557C5" w:rsidRDefault="003557C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A8: No. Only the Company provides such a representation. </w:t>
      </w:r>
    </w:p>
    <w:p w14:paraId="39DEF09F" w14:textId="150D06D8" w:rsidR="003557C5" w:rsidRDefault="003557C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Q9: Is any of the Sellers bound by a non-competition covenant after the Closing? </w:t>
      </w:r>
    </w:p>
    <w:p w14:paraId="2FCC5946" w14:textId="5CD99B15" w:rsidR="003557C5" w:rsidRDefault="003557C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A9: No. </w:t>
      </w:r>
    </w:p>
    <w:p w14:paraId="5996A73F" w14:textId="40A994F6" w:rsidR="003557C5" w:rsidRDefault="00444E4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Q10: Whose consent is required for the assignment of the Agreement by the Buyer? </w:t>
      </w:r>
    </w:p>
    <w:p w14:paraId="44C46BFF" w14:textId="36767B1B" w:rsidR="00444E45" w:rsidRDefault="00444E45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A10: If the assignment is to an Affiliate or purchaser of all of the Buyer’s assets, no consent is required. Otherwise, the consent of the Company and the Seller Representative is required. </w:t>
      </w:r>
    </w:p>
    <w:p w14:paraId="141CA54E" w14:textId="38F754AC" w:rsidR="00EC458B" w:rsidRDefault="00EC458B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Q10a: Does the Buyer needs the Sellers’ consent in the event of an assignment of the Agreement to a third party who is not a Buyer’s Affiliates?</w:t>
      </w:r>
    </w:p>
    <w:p w14:paraId="41BCAC7A" w14:textId="5366DBEC" w:rsidR="00EC458B" w:rsidRDefault="00EC458B" w:rsidP="003557C5">
      <w:pPr>
        <w:pStyle w:val="RHDPara12D"/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A10a: No. If the assignment is not part of a sale of all or substantially all of the Buyer’s assets, the assignment requires the consent of the Company and the Seller’s Representative. </w:t>
      </w:r>
    </w:p>
    <w:p w14:paraId="25802D59" w14:textId="77777777" w:rsidR="00122016" w:rsidRPr="00122016" w:rsidRDefault="00122016">
      <w:pPr>
        <w:rPr>
          <w:lang w:val="en-US"/>
        </w:rPr>
      </w:pPr>
    </w:p>
    <w:sectPr w:rsidR="00122016" w:rsidRPr="00122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6"/>
    <w:rsid w:val="00122016"/>
    <w:rsid w:val="003557C5"/>
    <w:rsid w:val="00444E45"/>
    <w:rsid w:val="00766F88"/>
    <w:rsid w:val="008143B5"/>
    <w:rsid w:val="00EA0F97"/>
    <w:rsid w:val="00E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DAAE"/>
  <w15:chartTrackingRefBased/>
  <w15:docId w15:val="{448D5007-B090-1B48-9FAD-0B31BD14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HDPara12D">
    <w:name w:val="RHD Para 1/2&quot; D"/>
    <w:basedOn w:val="Normal"/>
    <w:uiPriority w:val="2"/>
    <w:qFormat/>
    <w:rsid w:val="00122016"/>
    <w:pPr>
      <w:adjustRightInd w:val="0"/>
      <w:spacing w:line="480" w:lineRule="auto"/>
      <w:ind w:firstLine="720"/>
    </w:pPr>
    <w:rPr>
      <w:rFonts w:ascii="Symbol" w:eastAsia="Calibri" w:hAnsi="Symbol" w:cs="Times New Roman"/>
      <w:kern w:val="0"/>
      <w:szCs w:val="20"/>
      <w:lang w:val="en-US" w:bidi="ar-SA"/>
      <w14:ligatures w14:val="none"/>
    </w:rPr>
  </w:style>
  <w:style w:type="paragraph" w:customStyle="1" w:styleId="RSBSubtitle">
    <w:name w:val="RSB Subtitle"/>
    <w:basedOn w:val="Normal"/>
    <w:next w:val="RHDPara12D"/>
    <w:uiPriority w:val="4"/>
    <w:qFormat/>
    <w:rsid w:val="00122016"/>
    <w:pPr>
      <w:keepNext/>
      <w:keepLines/>
      <w:adjustRightInd w:val="0"/>
      <w:spacing w:after="240" w:line="0" w:lineRule="atLeast"/>
    </w:pPr>
    <w:rPr>
      <w:rFonts w:ascii="Symbol" w:eastAsia="Calibri" w:hAnsi="Symbol" w:cs="Times New Roman"/>
      <w:b/>
      <w:kern w:val="0"/>
      <w:szCs w:val="20"/>
      <w:lang w:val="en-US" w:bidi="ar-SA"/>
      <w14:ligatures w14:val="none"/>
    </w:rPr>
  </w:style>
  <w:style w:type="paragraph" w:customStyle="1" w:styleId="RTBTitle">
    <w:name w:val="RTB Title"/>
    <w:basedOn w:val="Normal"/>
    <w:next w:val="RSBSubtitle"/>
    <w:uiPriority w:val="3"/>
    <w:qFormat/>
    <w:rsid w:val="00122016"/>
    <w:pPr>
      <w:keepNext/>
      <w:keepLines/>
      <w:adjustRightInd w:val="0"/>
      <w:spacing w:after="240" w:line="0" w:lineRule="atLeast"/>
      <w:jc w:val="center"/>
    </w:pPr>
    <w:rPr>
      <w:rFonts w:ascii="Symbol" w:eastAsia="Calibri" w:hAnsi="Symbol" w:cs="Times New Roman"/>
      <w:b/>
      <w:caps/>
      <w:kern w:val="0"/>
      <w:szCs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קטלן</dc:creator>
  <cp:keywords/>
  <dc:description/>
  <cp:lastModifiedBy>NBA</cp:lastModifiedBy>
  <cp:revision>2</cp:revision>
  <dcterms:created xsi:type="dcterms:W3CDTF">2024-01-07T14:57:00Z</dcterms:created>
  <dcterms:modified xsi:type="dcterms:W3CDTF">2024-01-07T14:57:00Z</dcterms:modified>
</cp:coreProperties>
</file>