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990000"/>
        </w:rPr>
        <w:t>ERCS PMER-MIS Entity Relationship Specification</w:t>
      </w:r>
    </w:p>
    <w:p>
      <w:r>
        <w:t>Testing table and callouts:</w:t>
      </w:r>
    </w:p>
    <w:tbl>
      <w:tblPr>
        <w:tblW w:w="9600" w:type="dxa"/>
        <w:tblBorders>
          <w:top w:val="single" w:sz="4" w:space="0" w:color="D1D5DB"/>
          <w:bottom w:val="single" w:sz="4" w:space="0" w:color="D1D5DB"/>
          <w:insideH w:val="single" w:sz="4" w:space="0" w:color="E5E7EB"/>
          <w:insideV w:val="none"/>
          <w:left w:val="none"/>
          <w:right w:val="none"/>
        </w:tblBorders>
      </w:tblPr>
      <w:tr>
        <w:trPr>
          <w:tblHeader/>
        </w:trPr>
        <w:tc>
          <w:tcPr>
            <w:tcW w:w="4800" w:type="dxa"/>
            <w:shd w:val="clear" w:color="auto" w:fill="99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Entity Name</w:t>
            </w:r>
          </w:p>
        </w:tc>
        <w:tc>
          <w:tcPr>
            <w:tcW w:w="4800" w:type="dxa"/>
            <w:shd w:val="clear" w:color="auto" w:fill="99000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w="4800" w:type="dx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b/>
              </w:rPr>
              <w:t>Strategic Plan</w:t>
            </w:r>
          </w:p>
        </w:tc>
        <w:tc>
          <w:tcPr>
            <w:tcW w:w="4800" w:type="dx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t>Five-year strategic plan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