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GENIUS HAS MANY PARENTS…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2016-8-2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rFonts w:ascii="Merriweather" w:cs="Merriweather" w:eastAsia="Merriweather" w:hAnsi="Merriweather"/>
          <w:i w:val="1"/>
          <w:color w:val="2129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rFonts w:ascii="Merriweather" w:cs="Merriweather" w:eastAsia="Merriweather" w:hAnsi="Merriweather"/>
          <w:i w:val="1"/>
          <w:color w:val="212931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212931"/>
          <w:sz w:val="24"/>
          <w:szCs w:val="24"/>
          <w:highlight w:val="white"/>
          <w:rtl w:val="0"/>
        </w:rPr>
        <w:t xml:space="preserve">Genius has many parents, and one of them is isolated ineptitude.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- Triquetra4715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Georgia" w:cs="Georgia" w:eastAsia="Georgia" w:hAnsi="Georgia"/>
          <w:color w:val="2129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