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a3ba9c4e5a3d89c4d83f16bb68e391c2dbf83e4"/>
    <w:p>
      <w:pPr>
        <w:pStyle w:val="Heading1"/>
      </w:pPr>
      <w:r>
        <w:t xml:space="preserve">Deeper analysis of roll‑along MASW, CMP cross‑correlation and pseudo‑2‑D Vs mapping</w:t>
      </w:r>
    </w:p>
    <w:bookmarkStart w:id="32" w:name="X179011930067f50406d4510024bec619052580a"/>
    <w:p>
      <w:pPr>
        <w:pStyle w:val="Heading2"/>
      </w:pPr>
      <w:r>
        <w:t xml:space="preserve">Concept of the</w:t>
      </w:r>
      <w:r>
        <w:t xml:space="preserve"> </w:t>
      </w:r>
      <w:r>
        <w:rPr>
          <w:b/>
          <w:bCs/>
        </w:rPr>
        <w:t xml:space="preserve">roll‑along</w:t>
      </w:r>
      <w:r>
        <w:t xml:space="preserve"> </w:t>
      </w:r>
      <w:r>
        <w:t xml:space="preserve">workflow (SurfSeis manual and MASW.com)</w:t>
      </w:r>
    </w:p>
    <w:p>
      <w:pPr>
        <w:numPr>
          <w:ilvl w:val="0"/>
          <w:numId w:val="1001"/>
        </w:numPr>
      </w:pPr>
      <w:r>
        <w:rPr>
          <w:b/>
          <w:bCs/>
        </w:rPr>
        <w:t xml:space="preserve">Why roll‑along?</w:t>
      </w:r>
      <w:r>
        <w:t xml:space="preserve"> </w:t>
      </w:r>
      <w:r>
        <w:t xml:space="preserve">Conventional MASW uses all receivers in a single spread, so the dispersion curve represents an average beneath the midpoint of the entire array. To map shear‑wave velocity laterally, multiple 1‑D Vs profiles must be extracted along the line. Park Seismic explains that</w:t>
      </w:r>
      <w:r>
        <w:t xml:space="preserve"> </w:t>
      </w:r>
      <w:r>
        <w:rPr>
          <w:b/>
          <w:bCs/>
        </w:rPr>
        <w:t xml:space="preserve">a roll‑along dataset contains multiple records with the same source offset</w:t>
      </w:r>
      <w:r>
        <w:rPr>
          <w:b/>
          <w:bCs/>
        </w:rPr>
        <w:t xml:space="preserve"> </w:t>
      </w:r>
      <m:oMath>
        <m:sSub>
          <m:e>
            <m:r>
              <m:t>X</m:t>
            </m:r>
          </m:e>
          <m:sub>
            <m:r>
              <m:t>1</m:t>
            </m:r>
          </m:sub>
        </m:sSub>
      </m:oMath>
      <w:r>
        <w:rPr>
          <w:b/>
          <w:bCs/>
        </w:rPr>
        <w:t xml:space="preserve"> </w:t>
      </w:r>
      <w:r>
        <w:rPr>
          <w:b/>
          <w:bCs/>
        </w:rPr>
        <w:t xml:space="preserve">and receiver array length</w:t>
      </w:r>
      <w:r>
        <w:rPr>
          <w:b/>
          <w:bCs/>
        </w:rPr>
        <w:t xml:space="preserve"> </w:t>
      </w:r>
      <m:oMath>
        <m:r>
          <m:t>L</m:t>
        </m:r>
      </m:oMath>
      <w:hyperlink r:id="rId21">
        <w:r>
          <w:rPr>
            <w:rStyle w:val="Hyperlink"/>
          </w:rPr>
          <w:t xml:space="preserve">[1]</w:t>
        </w:r>
      </w:hyperlink>
      <w:r>
        <w:t xml:space="preserve">. This uniform geometry minimizes near‑ and far‑field biases and is required to generate consistent dispersion images</w:t>
      </w:r>
      <w:hyperlink r:id="rId22">
        <w:r>
          <w:rPr>
            <w:rStyle w:val="Hyperlink"/>
          </w:rPr>
          <w:t xml:space="preserve">[2]</w:t>
        </w:r>
      </w:hyperlink>
      <w:r>
        <w:t xml:space="preserve">.</w:t>
      </w:r>
    </w:p>
    <w:p>
      <w:pPr>
        <w:numPr>
          <w:ilvl w:val="0"/>
          <w:numId w:val="1001"/>
        </w:numPr>
      </w:pPr>
      <w:r>
        <w:rPr>
          <w:b/>
          <w:bCs/>
        </w:rPr>
        <w:t xml:space="preserve">Preparing a roll‑along dataset.</w:t>
      </w:r>
      <w:r>
        <w:t xml:space="preserve"> </w:t>
      </w:r>
      <w:r>
        <w:t xml:space="preserve">Two strategies are described:</w:t>
      </w:r>
    </w:p>
    <w:p>
      <w:pPr>
        <w:numPr>
          <w:ilvl w:val="0"/>
          <w:numId w:val="1001"/>
        </w:numPr>
      </w:pPr>
      <w:r>
        <w:rPr>
          <w:b/>
          <w:bCs/>
        </w:rPr>
        <w:t xml:space="preserve">Using a land streamer</w:t>
      </w:r>
      <w:r>
        <w:t xml:space="preserve"> </w:t>
      </w:r>
      <w:r>
        <w:t xml:space="preserve">– all geophones are mounted on a wheeled platform; after each shot the entire array is moved by one geophone spacing. This yields multiple records with constant</w:t>
      </w:r>
      <w:r>
        <w:t xml:space="preserve"> </w:t>
      </w:r>
      <m:oMath>
        <m:sSub>
          <m:e>
            <m:r>
              <m:t>X</m:t>
            </m:r>
          </m:e>
          <m:sub>
            <m:r>
              <m:t>1</m:t>
            </m:r>
          </m:sub>
        </m:sSub>
      </m:oMath>
      <w:r>
        <w:t xml:space="preserve"> </w:t>
      </w:r>
      <w:r>
        <w:t xml:space="preserve">and</w:t>
      </w:r>
      <w:r>
        <w:t xml:space="preserve"> </w:t>
      </w:r>
      <m:oMath>
        <m:r>
          <m:t>L</m:t>
        </m:r>
      </m:oMath>
      <w:r>
        <w:t xml:space="preserve">. The method speeds acquisition but signal‑to‑noise can be lower because receivers are not spiked</w:t>
      </w:r>
      <w:hyperlink r:id="rId23">
        <w:r>
          <w:rPr>
            <w:rStyle w:val="Hyperlink"/>
          </w:rPr>
          <w:t xml:space="preserve">[3]</w:t>
        </w:r>
      </w:hyperlink>
      <w:r>
        <w:t xml:space="preserve">.</w:t>
      </w:r>
    </w:p>
    <w:p>
      <w:pPr>
        <w:numPr>
          <w:ilvl w:val="0"/>
          <w:numId w:val="1001"/>
        </w:numPr>
      </w:pPr>
      <w:r>
        <w:rPr>
          <w:b/>
          <w:bCs/>
        </w:rPr>
        <w:t xml:space="preserve">Shoot‑through (recompilation)</w:t>
      </w:r>
      <w:r>
        <w:t xml:space="preserve"> </w:t>
      </w:r>
      <w:r>
        <w:t xml:space="preserve">– a conventional fixed 24‑ or 48‑channel array is used. The shot point is moved along the line while the array remains stationary. For each shot record, the central subset of channels that maintain the desired source offset</w:t>
      </w:r>
      <w:r>
        <w:t xml:space="preserve"> </w:t>
      </w:r>
      <m:oMath>
        <m:sSub>
          <m:e>
            <m:r>
              <m:t>X</m:t>
            </m:r>
          </m:e>
          <m:sub>
            <m:r>
              <m:t>1</m:t>
            </m:r>
          </m:sub>
        </m:sSub>
      </m:oMath>
      <w:r>
        <w:t xml:space="preserve"> </w:t>
      </w:r>
      <w:r>
        <w:t xml:space="preserve">and array length</w:t>
      </w:r>
      <w:r>
        <w:t xml:space="preserve"> </w:t>
      </w:r>
      <m:oMath>
        <m:r>
          <m:t>L</m:t>
        </m:r>
      </m:oMath>
      <w:r>
        <w:t xml:space="preserve"> </w:t>
      </w:r>
      <w:r>
        <w:t xml:space="preserve">is selected. The front and back channels are discarded so that every “sub‑array” has the same length and offset</w:t>
      </w:r>
      <w:hyperlink r:id="rId24">
        <w:r>
          <w:rPr>
            <w:rStyle w:val="Hyperlink"/>
          </w:rPr>
          <w:t xml:space="preserve">[4]</w:t>
        </w:r>
      </w:hyperlink>
      <w:r>
        <w:t xml:space="preserve">. For example, a 24‑channel array with 5‑ft spacing can be recompiled into 12‑channel sub‑arrays to build a roll‑along data set</w:t>
      </w:r>
      <w:hyperlink r:id="rId25">
        <w:r>
          <w:rPr>
            <w:rStyle w:val="Hyperlink"/>
          </w:rPr>
          <w:t xml:space="preserve">[5]</w:t>
        </w:r>
      </w:hyperlink>
      <w:r>
        <w:t xml:space="preserve">. This is the workflow implemented in SurfSeis and ParkSEIS. Table 1 in the manual (not shown) enumerates the shot and channel ranges used for each sub‑array.</w:t>
      </w:r>
    </w:p>
    <w:p>
      <w:pPr>
        <w:numPr>
          <w:ilvl w:val="0"/>
          <w:numId w:val="1001"/>
        </w:numPr>
      </w:pPr>
      <w:r>
        <w:rPr>
          <w:b/>
          <w:bCs/>
        </w:rPr>
        <w:t xml:space="preserve">Optimising geometry.</w:t>
      </w:r>
      <w:r>
        <w:t xml:space="preserve"> </w:t>
      </w:r>
      <w:r>
        <w:t xml:space="preserve">Park Seismic emphasises that the receiver array length</w:t>
      </w:r>
      <w:r>
        <w:t xml:space="preserve"> </w:t>
      </w:r>
      <m:oMath>
        <m:r>
          <m:t>L</m:t>
        </m:r>
      </m:oMath>
      <w:r>
        <w:t xml:space="preserve"> </w:t>
      </w:r>
      <w:r>
        <w:t xml:space="preserve">should be about twice the investigation depth and that the source offset</w:t>
      </w:r>
      <w:r>
        <w:t xml:space="preserve"> </w:t>
      </w:r>
      <m:oMath>
        <m:sSub>
          <m:e>
            <m:r>
              <m:t>X</m:t>
            </m:r>
          </m:e>
          <m:sub>
            <m:r>
              <m:t>1</m:t>
            </m:r>
          </m:sub>
        </m:sSub>
      </m:oMath>
      <w:r>
        <w:t xml:space="preserve"> </w:t>
      </w:r>
      <w:r>
        <w:t xml:space="preserve">is typically half of</w:t>
      </w:r>
      <w:r>
        <w:t xml:space="preserve"> </w:t>
      </w:r>
      <m:oMath>
        <m:r>
          <m:t>L</m:t>
        </m:r>
      </m:oMath>
      <w:r>
        <w:t xml:space="preserve">; i.e.,</w:t>
      </w:r>
      <w:r>
        <w:t xml:space="preserve"> </w:t>
      </w:r>
      <m:oMath>
        <m:sSub>
          <m:e>
            <m:r>
              <m:t>X</m:t>
            </m:r>
          </m:e>
          <m:sub>
            <m:r>
              <m:t>1</m:t>
            </m:r>
          </m:sub>
        </m:sSub>
        <m:r>
          <m:rPr>
            <m:sty m:val="p"/>
          </m:rPr>
          <m:t>≈</m:t>
        </m:r>
        <m:f>
          <m:fPr>
            <m:type m:val="lin"/>
          </m:fPr>
          <m:num>
            <m:r>
              <m:t>1</m:t>
            </m:r>
          </m:num>
          <m:den>
            <m:r>
              <m:t>2</m:t>
            </m:r>
          </m:den>
        </m:f>
        <m:r>
          <m:t>L</m:t>
        </m:r>
      </m:oMath>
      <w:hyperlink r:id="rId26">
        <w:r>
          <w:rPr>
            <w:rStyle w:val="Hyperlink"/>
          </w:rPr>
          <w:t xml:space="preserve">[6]</w:t>
        </w:r>
      </w:hyperlink>
      <w:r>
        <w:t xml:space="preserve">. The receiver spacing</w:t>
      </w:r>
      <w:r>
        <w:t xml:space="preserve"> </w:t>
      </w:r>
      <m:oMath>
        <m:r>
          <m:t>Δ</m:t>
        </m:r>
        <m:r>
          <m:t>x</m:t>
        </m:r>
      </m:oMath>
      <w:r>
        <w:t xml:space="preserve"> </w:t>
      </w:r>
      <w:r>
        <w:t xml:space="preserve">controls both lateral resolution and depth of investigation: to achieve greater depth,</w:t>
      </w:r>
      <w:r>
        <w:t xml:space="preserve"> </w:t>
      </w:r>
      <m:oMath>
        <m:r>
          <m:t>Δ</m:t>
        </m:r>
        <m:r>
          <m:t>x</m:t>
        </m:r>
      </m:oMath>
      <w:r>
        <w:t xml:space="preserve"> </w:t>
      </w:r>
      <w:r>
        <w:t xml:space="preserve">or the number of channels must be increased</w:t>
      </w:r>
      <w:hyperlink r:id="rId27">
        <w:r>
          <w:rPr>
            <w:rStyle w:val="Hyperlink"/>
          </w:rPr>
          <w:t xml:space="preserve">[7]</w:t>
        </w:r>
      </w:hyperlink>
      <w:r>
        <w:t xml:space="preserve">. If</w:t>
      </w:r>
      <w:r>
        <w:t xml:space="preserve"> </w:t>
      </w:r>
      <m:oMath>
        <m:sSub>
          <m:e>
            <m:r>
              <m:t>X</m:t>
            </m:r>
          </m:e>
          <m:sub>
            <m:r>
              <m:t>1</m:t>
            </m:r>
          </m:sub>
        </m:sSub>
      </m:oMath>
      <w:r>
        <w:t xml:space="preserve"> </w:t>
      </w:r>
      <w:r>
        <w:t xml:space="preserve">or</w:t>
      </w:r>
      <w:r>
        <w:t xml:space="preserve"> </w:t>
      </w:r>
      <m:oMath>
        <m:r>
          <m:t>L</m:t>
        </m:r>
      </m:oMath>
      <w:r>
        <w:t xml:space="preserve"> </w:t>
      </w:r>
      <w:r>
        <w:t xml:space="preserve">are not optimised, near‑ or far‑field effects can distort the dispersion image</w:t>
      </w:r>
      <w:hyperlink r:id="rId28">
        <w:r>
          <w:rPr>
            <w:rStyle w:val="Hyperlink"/>
          </w:rPr>
          <w:t xml:space="preserve">[8]</w:t>
        </w:r>
      </w:hyperlink>
      <w:r>
        <w:t xml:space="preserve">. Thus each sub‑array must be formed using the same</w:t>
      </w:r>
      <w:r>
        <w:t xml:space="preserve"> </w:t>
      </w:r>
      <m:oMath>
        <m:sSub>
          <m:e>
            <m:r>
              <m:t>X</m:t>
            </m:r>
          </m:e>
          <m:sub>
            <m:r>
              <m:t>1</m:t>
            </m:r>
          </m:sub>
        </m:sSub>
      </m:oMath>
      <w:r>
        <w:t xml:space="preserve">,</w:t>
      </w:r>
      <w:r>
        <w:t xml:space="preserve"> </w:t>
      </w:r>
      <m:oMath>
        <m:r>
          <m:t>L</m:t>
        </m:r>
      </m:oMath>
      <w:r>
        <w:t xml:space="preserve"> </w:t>
      </w:r>
      <w:r>
        <w:t xml:space="preserve">and spacing.</w:t>
      </w:r>
    </w:p>
    <w:bookmarkStart w:id="31" w:name="X8f0bd3cfb17f231b63d1b73cf6b4a8a352ea395"/>
    <w:p>
      <w:pPr>
        <w:pStyle w:val="Heading3"/>
      </w:pPr>
      <w:r>
        <w:t xml:space="preserve">Data acquisition and recomposition workflow</w:t>
      </w:r>
    </w:p>
    <w:p>
      <w:pPr>
        <w:numPr>
          <w:ilvl w:val="0"/>
          <w:numId w:val="1002"/>
        </w:numPr>
      </w:pPr>
      <w:r>
        <w:rPr>
          <w:b/>
          <w:bCs/>
        </w:rPr>
        <w:t xml:space="preserve">Determine desired investigation depth</w:t>
      </w:r>
      <w:r>
        <w:rPr>
          <w:b/>
          <w:bCs/>
        </w:rPr>
        <w:t xml:space="preserve"> </w:t>
      </w:r>
      <m:oMath>
        <m:sSub>
          <m:e>
            <m:r>
              <m:t>Z</m:t>
            </m:r>
          </m:e>
          <m:sub>
            <m:r>
              <m:rPr>
                <m:sty m:val="p"/>
              </m:rPr>
              <m:t>max</m:t>
            </m:r>
          </m:sub>
        </m:sSub>
      </m:oMath>
      <w:r>
        <w:rPr>
          <w:b/>
          <w:bCs/>
        </w:rPr>
        <w:t xml:space="preserve">.</w:t>
      </w:r>
      <w:r>
        <w:t xml:space="preserve"> </w:t>
      </w:r>
      <w:r>
        <w:t xml:space="preserve">Choose receiver spacing</w:t>
      </w:r>
      <w:r>
        <w:t xml:space="preserve"> </w:t>
      </w:r>
      <m:oMath>
        <m:r>
          <m:t>Δ</m:t>
        </m:r>
        <m:r>
          <m:t>x</m:t>
        </m:r>
      </m:oMath>
      <w:r>
        <w:t xml:space="preserve"> </w:t>
      </w:r>
      <w:r>
        <w:t xml:space="preserve">and number of channels</w:t>
      </w:r>
      <w:r>
        <w:t xml:space="preserve"> </w:t>
      </w:r>
      <m:oMath>
        <m:r>
          <m:t>n</m:t>
        </m:r>
      </m:oMath>
      <w:r>
        <w:t xml:space="preserve"> </w:t>
      </w:r>
      <w:r>
        <w:t xml:space="preserve">so that array length</w:t>
      </w:r>
      <w:r>
        <w:t xml:space="preserve"> </w:t>
      </w:r>
      <m:oMath>
        <m:r>
          <m:t>L</m:t>
        </m:r>
        <m:r>
          <m:rPr>
            <m:sty m:val="p"/>
          </m:rPr>
          <m:t>=</m:t>
        </m:r>
        <m:d>
          <m:dPr>
            <m:begChr m:val="("/>
            <m:sepChr m:val=""/>
            <m:endChr m:val=")"/>
            <m:grow/>
          </m:dPr>
          <m:e>
            <m:r>
              <m:t>n</m:t>
            </m:r>
            <m:r>
              <m:rPr>
                <m:sty m:val="p"/>
              </m:rPr>
              <m:t>−</m:t>
            </m:r>
            <m:r>
              <m:t>1</m:t>
            </m:r>
          </m:e>
        </m:d>
        <m:r>
          <m:t>Δ</m:t>
        </m:r>
        <m:r>
          <m:t>x</m:t>
        </m:r>
        <m:r>
          <m:rPr>
            <m:sty m:val="p"/>
          </m:rPr>
          <m:t>≈</m:t>
        </m:r>
        <m:r>
          <m:t>2</m:t>
        </m:r>
        <m:sSub>
          <m:e>
            <m:r>
              <m:t>Z</m:t>
            </m:r>
          </m:e>
          <m:sub>
            <m:r>
              <m:rPr>
                <m:sty m:val="p"/>
              </m:rPr>
              <m:t>max</m:t>
            </m:r>
          </m:sub>
        </m:sSub>
      </m:oMath>
      <w:hyperlink r:id="rId27">
        <w:r>
          <w:rPr>
            <w:rStyle w:val="Hyperlink"/>
          </w:rPr>
          <w:t xml:space="preserve">[7]</w:t>
        </w:r>
      </w:hyperlink>
      <w:r>
        <w:t xml:space="preserve">. Pick source offset</w:t>
      </w:r>
      <w:r>
        <w:t xml:space="preserve"> </w:t>
      </w:r>
      <m:oMath>
        <m:sSub>
          <m:e>
            <m:r>
              <m:t>X</m:t>
            </m:r>
          </m:e>
          <m:sub>
            <m:r>
              <m:t>1</m:t>
            </m:r>
          </m:sub>
        </m:sSub>
        <m:r>
          <m:rPr>
            <m:sty m:val="p"/>
          </m:rPr>
          <m:t>≈</m:t>
        </m:r>
        <m:r>
          <m:t>0.5</m:t>
        </m:r>
        <m:r>
          <m:t>L</m:t>
        </m:r>
      </m:oMath>
      <w:hyperlink r:id="rId29">
        <w:r>
          <w:rPr>
            <w:rStyle w:val="Hyperlink"/>
          </w:rPr>
          <w:t xml:space="preserve">[9]</w:t>
        </w:r>
      </w:hyperlink>
      <w:r>
        <w:t xml:space="preserve">.</w:t>
      </w:r>
    </w:p>
    <w:p>
      <w:pPr>
        <w:numPr>
          <w:ilvl w:val="0"/>
          <w:numId w:val="1002"/>
        </w:numPr>
      </w:pPr>
      <w:r>
        <w:rPr>
          <w:b/>
          <w:bCs/>
        </w:rPr>
        <w:t xml:space="preserve">Acquire field records.</w:t>
      </w:r>
      <w:r>
        <w:t xml:space="preserve"> </w:t>
      </w:r>
      <w:r>
        <w:t xml:space="preserve">Keep the array fixed and shoot at</w:t>
      </w:r>
      <w:r>
        <w:t xml:space="preserve"> </w:t>
      </w:r>
      <m:oMath>
        <m:r>
          <m:t>m</m:t>
        </m:r>
      </m:oMath>
      <w:r>
        <w:t xml:space="preserve"> </w:t>
      </w:r>
      <w:r>
        <w:t xml:space="preserve">different offsets spaced by</w:t>
      </w:r>
      <w:r>
        <w:t xml:space="preserve"> </w:t>
      </w:r>
      <m:oMath>
        <m:r>
          <m:t>Δ</m:t>
        </m:r>
        <m:r>
          <m:t>x</m:t>
        </m:r>
      </m:oMath>
      <w:r>
        <w:t xml:space="preserve">; e.g., a 24‑channel array and 13 shot locations produce 13 records</w:t>
      </w:r>
      <w:hyperlink r:id="rId30">
        <w:r>
          <w:rPr>
            <w:rStyle w:val="Hyperlink"/>
          </w:rPr>
          <w:t xml:space="preserve">[10]</w:t>
        </w:r>
      </w:hyperlink>
      <w:r>
        <w:t xml:space="preserve">.</w:t>
      </w:r>
    </w:p>
    <w:p>
      <w:pPr>
        <w:numPr>
          <w:ilvl w:val="0"/>
          <w:numId w:val="1002"/>
        </w:numPr>
      </w:pPr>
      <w:r>
        <w:rPr>
          <w:b/>
          <w:bCs/>
        </w:rPr>
        <w:t xml:space="preserve">Form sub‑arrays.</w:t>
      </w:r>
      <w:r>
        <w:t xml:space="preserve"> </w:t>
      </w:r>
      <w:r>
        <w:t xml:space="preserve">For each shot record, discard leading and trailing channels so that the remaining channels span length</w:t>
      </w:r>
      <w:r>
        <w:t xml:space="preserve"> </w:t>
      </w:r>
      <m:oMath>
        <m:r>
          <m:t>L</m:t>
        </m:r>
      </m:oMath>
      <w:r>
        <w:t xml:space="preserve"> </w:t>
      </w:r>
      <w:r>
        <w:t xml:space="preserve">starting</w:t>
      </w:r>
      <w:r>
        <w:t xml:space="preserve"> </w:t>
      </w:r>
      <m:oMath>
        <m:sSub>
          <m:e>
            <m:r>
              <m:t>X</m:t>
            </m:r>
          </m:e>
          <m:sub>
            <m:r>
              <m:t>1</m:t>
            </m:r>
          </m:sub>
        </m:sSub>
      </m:oMath>
      <w:r>
        <w:t xml:space="preserve"> </w:t>
      </w:r>
      <w:r>
        <w:t xml:space="preserve">behind the source. Repeat for all records. The result is a roll‑along dataset of overlapping sub‑arrays</w:t>
      </w:r>
      <w:hyperlink r:id="rId24">
        <w:r>
          <w:rPr>
            <w:rStyle w:val="Hyperlink"/>
          </w:rPr>
          <w:t xml:space="preserve">[11]</w:t>
        </w:r>
      </w:hyperlink>
      <w:r>
        <w:t xml:space="preserve">. Each sub‑array represents a different midpoint along the line.</w:t>
      </w:r>
    </w:p>
    <w:p>
      <w:pPr>
        <w:numPr>
          <w:ilvl w:val="0"/>
          <w:numId w:val="1002"/>
        </w:numPr>
      </w:pPr>
      <w:r>
        <w:rPr>
          <w:b/>
          <w:bCs/>
        </w:rPr>
        <w:t xml:space="preserve">Process each sub‑array.</w:t>
      </w:r>
      <w:r>
        <w:t xml:space="preserve"> </w:t>
      </w:r>
      <w:r>
        <w:t xml:space="preserve">Compute dispersion images (FK, FDBF, PS or SS) using standard MASW processing for each sub‑array. The resulting dispersion curves are associated with the midpoint of the sub‑array.</w:t>
      </w:r>
    </w:p>
    <w:p>
      <w:pPr>
        <w:numPr>
          <w:ilvl w:val="0"/>
          <w:numId w:val="1002"/>
        </w:numPr>
      </w:pPr>
      <w:r>
        <w:rPr>
          <w:b/>
          <w:bCs/>
        </w:rPr>
        <w:t xml:space="preserve">Invert dispersion curves to 1‑D Vs profiles</w:t>
      </w:r>
      <w:r>
        <w:t xml:space="preserve"> </w:t>
      </w:r>
      <w:r>
        <w:t xml:space="preserve">(see below). The set of 1‑D profiles along the line will later be interpolated to a pseudo‑2‑D cross‑section.</w:t>
      </w:r>
    </w:p>
    <w:bookmarkEnd w:id="31"/>
    <w:bookmarkEnd w:id="32"/>
    <w:bookmarkStart w:id="39" w:name="commonmidpoint-crosscorrelation-cmpcc"/>
    <w:p>
      <w:pPr>
        <w:pStyle w:val="Heading2"/>
      </w:pPr>
      <w:r>
        <w:t xml:space="preserve">Common‑Mid‑Point cross‑correlation (CMP‑CC)</w:t>
      </w:r>
    </w:p>
    <w:p>
      <w:pPr>
        <w:numPr>
          <w:ilvl w:val="0"/>
          <w:numId w:val="1003"/>
        </w:numPr>
      </w:pPr>
      <w:r>
        <w:rPr>
          <w:b/>
          <w:bCs/>
        </w:rPr>
        <w:t xml:space="preserve">Purpose.</w:t>
      </w:r>
      <w:r>
        <w:t xml:space="preserve"> </w:t>
      </w:r>
      <w:r>
        <w:t xml:space="preserve">MASW traditionally averages over the entire spread, limiting lateral resolution. The</w:t>
      </w:r>
      <w:r>
        <w:t xml:space="preserve"> </w:t>
      </w:r>
      <w:r>
        <w:rPr>
          <w:b/>
          <w:bCs/>
        </w:rPr>
        <w:t xml:space="preserve">CMP cross‑correlation technique</w:t>
      </w:r>
      <w:r>
        <w:t xml:space="preserve"> </w:t>
      </w:r>
      <w:r>
        <w:t xml:space="preserve">uses correlations of trace pairs to improve lateral resolution and reduce dispersion‑curve smearing. The method stacks correlations from receiver pairs that share the same midpoint and equal spacing so that phase velocity can be estimated more accurately</w:t>
      </w:r>
      <w:hyperlink r:id="rId33">
        <w:r>
          <w:rPr>
            <w:rStyle w:val="Hyperlink"/>
          </w:rPr>
          <w:t xml:space="preserve">[12]</w:t>
        </w:r>
      </w:hyperlink>
      <w:r>
        <w:t xml:space="preserve">.</w:t>
      </w:r>
    </w:p>
    <w:p>
      <w:pPr>
        <w:numPr>
          <w:ilvl w:val="0"/>
          <w:numId w:val="1003"/>
        </w:numPr>
      </w:pPr>
      <w:r>
        <w:rPr>
          <w:b/>
          <w:bCs/>
        </w:rPr>
        <w:t xml:space="preserve">Workflow (per shot record):</w:t>
      </w:r>
    </w:p>
    <w:p>
      <w:pPr>
        <w:numPr>
          <w:ilvl w:val="0"/>
          <w:numId w:val="1003"/>
        </w:numPr>
      </w:pPr>
      <w:r>
        <w:rPr>
          <w:b/>
          <w:bCs/>
        </w:rPr>
        <w:t xml:space="preserve">Cross‑correlation of all trace pairs.</w:t>
      </w:r>
      <w:r>
        <w:t xml:space="preserve"> </w:t>
      </w:r>
      <w:r>
        <w:t xml:space="preserve">For each shot gather, compute the cross‑correlation between every pair of geophone traces</w:t>
      </w:r>
      <w:hyperlink r:id="rId34">
        <w:r>
          <w:rPr>
            <w:rStyle w:val="Hyperlink"/>
          </w:rPr>
          <w:t xml:space="preserve">[13]</w:t>
        </w:r>
      </w:hyperlink>
      <w:r>
        <w:t xml:space="preserve">. This correlation function effectively converts each pair into a virtual source/receiver at the pair’s midpoint.</w:t>
      </w:r>
    </w:p>
    <w:p>
      <w:pPr>
        <w:numPr>
          <w:ilvl w:val="0"/>
          <w:numId w:val="1003"/>
        </w:numPr>
      </w:pPr>
      <w:r>
        <w:rPr>
          <w:b/>
          <w:bCs/>
        </w:rPr>
        <w:t xml:space="preserve">Sort by common midpoint.</w:t>
      </w:r>
      <w:r>
        <w:t xml:space="preserve"> </w:t>
      </w:r>
      <w:r>
        <w:t xml:space="preserve">For each correlation trace, compute the midpoint index (average of the two channel positions). Group correlations having the same midpoint and equal receiver spacing</w:t>
      </w:r>
      <w:hyperlink r:id="rId35">
        <w:r>
          <w:rPr>
            <w:rStyle w:val="Hyperlink"/>
          </w:rPr>
          <w:t xml:space="preserve">[14]</w:t>
        </w:r>
      </w:hyperlink>
      <w:r>
        <w:t xml:space="preserve">.</w:t>
      </w:r>
    </w:p>
    <w:p>
      <w:pPr>
        <w:numPr>
          <w:ilvl w:val="0"/>
          <w:numId w:val="1003"/>
        </w:numPr>
      </w:pPr>
      <w:r>
        <w:rPr>
          <w:b/>
          <w:bCs/>
        </w:rPr>
        <w:t xml:space="preserve">Stack equal‑spacing correlations.</w:t>
      </w:r>
      <w:r>
        <w:t xml:space="preserve"> </w:t>
      </w:r>
      <w:r>
        <w:t xml:space="preserve">Within each midpoint group, stack correlation traces with identical spacing. Stacking reinforces coherent Rayleigh‑wave energy and suppresses noise</w:t>
      </w:r>
      <w:hyperlink r:id="rId36">
        <w:r>
          <w:rPr>
            <w:rStyle w:val="Hyperlink"/>
          </w:rPr>
          <w:t xml:space="preserve">[15]</w:t>
        </w:r>
      </w:hyperlink>
      <w:r>
        <w:t xml:space="preserve">.</w:t>
      </w:r>
    </w:p>
    <w:p>
      <w:pPr>
        <w:numPr>
          <w:ilvl w:val="0"/>
          <w:numId w:val="1003"/>
        </w:numPr>
      </w:pPr>
      <w:r>
        <w:rPr>
          <w:b/>
          <w:bCs/>
        </w:rPr>
        <w:t xml:space="preserve">Generate CMP‑CC gathers.</w:t>
      </w:r>
      <w:r>
        <w:t xml:space="preserve"> </w:t>
      </w:r>
      <w:r>
        <w:t xml:space="preserve">The stacked traces for each midpoint form a</w:t>
      </w:r>
      <w:r>
        <w:t xml:space="preserve"> </w:t>
      </w:r>
      <w:r>
        <w:rPr>
          <w:b/>
          <w:bCs/>
        </w:rPr>
        <w:t xml:space="preserve">CMP cross‑correlation gather</w:t>
      </w:r>
      <w:r>
        <w:t xml:space="preserve">. Apply MASW dispersion‑curve extraction (e.g., FK or PS transform) to each CMP‑CC gather to generate phase‑velocity dispersion curves</w:t>
      </w:r>
      <w:hyperlink r:id="rId36">
        <w:r>
          <w:rPr>
            <w:rStyle w:val="Hyperlink"/>
          </w:rPr>
          <w:t xml:space="preserve">[15]</w:t>
        </w:r>
      </w:hyperlink>
      <w:r>
        <w:t xml:space="preserve">.</w:t>
      </w:r>
    </w:p>
    <w:p>
      <w:pPr>
        <w:numPr>
          <w:ilvl w:val="0"/>
          <w:numId w:val="1003"/>
        </w:numPr>
      </w:pPr>
      <w:r>
        <w:rPr>
          <w:b/>
          <w:bCs/>
        </w:rPr>
        <w:t xml:space="preserve">Repeat for all shot records</w:t>
      </w:r>
      <w:r>
        <w:t xml:space="preserve"> </w:t>
      </w:r>
      <w:r>
        <w:t xml:space="preserve">and average the dispersion curves at each midpoint to improve signal‑to‑noise.</w:t>
      </w:r>
    </w:p>
    <w:p>
      <w:pPr>
        <w:numPr>
          <w:ilvl w:val="0"/>
          <w:numId w:val="1003"/>
        </w:numPr>
      </w:pPr>
      <w:r>
        <w:rPr>
          <w:b/>
          <w:bCs/>
        </w:rPr>
        <w:t xml:space="preserve">Inversion using genetic algorithms.</w:t>
      </w:r>
      <w:r>
        <w:t xml:space="preserve"> </w:t>
      </w:r>
      <w:r>
        <w:t xml:space="preserve">The Wadi Fatima case study notes that inversion of dispersion curves can be achieved using genetic algorithms (GA) or least‑squares methods</w:t>
      </w:r>
      <w:hyperlink r:id="rId33">
        <w:r>
          <w:rPr>
            <w:rStyle w:val="Hyperlink"/>
          </w:rPr>
          <w:t xml:space="preserve">[12]</w:t>
        </w:r>
      </w:hyperlink>
      <w:r>
        <w:t xml:space="preserve">. The article emphasises that GA is robust and stable; it operates by evolving populations of candidate models via selection, crossover and mutation</w:t>
      </w:r>
      <w:hyperlink r:id="rId37">
        <w:r>
          <w:rPr>
            <w:rStyle w:val="Hyperlink"/>
          </w:rPr>
          <w:t xml:space="preserve">[16]</w:t>
        </w:r>
      </w:hyperlink>
      <w:r>
        <w:t xml:space="preserve">. After inversion, the 1‑D VS profile is averaged at the midpoint to represent the sub‑surface beneath that CMP</w:t>
      </w:r>
      <w:hyperlink r:id="rId38">
        <w:r>
          <w:rPr>
            <w:rStyle w:val="Hyperlink"/>
          </w:rPr>
          <w:t xml:space="preserve">[17]</w:t>
        </w:r>
      </w:hyperlink>
      <w:r>
        <w:t xml:space="preserve">.</w:t>
      </w:r>
    </w:p>
    <w:bookmarkEnd w:id="39"/>
    <w:bookmarkStart w:id="41" w:name="X6b24c8fe21bb0a4a30c7d66ed7469d6de41f78e"/>
    <w:p>
      <w:pPr>
        <w:pStyle w:val="Heading2"/>
      </w:pPr>
      <w:r>
        <w:t xml:space="preserve">Interpreting 1‑D dispersion curves: forward modelling and inversion</w:t>
      </w:r>
    </w:p>
    <w:p>
      <w:pPr>
        <w:numPr>
          <w:ilvl w:val="0"/>
          <w:numId w:val="1004"/>
        </w:numPr>
      </w:pPr>
      <w:r>
        <w:rPr>
          <w:b/>
          <w:bCs/>
        </w:rPr>
        <w:t xml:space="preserve">Forward modelling (Thomson–Haskell algorithm).</w:t>
      </w:r>
      <w:r>
        <w:t xml:space="preserve"> </w:t>
      </w:r>
      <w:r>
        <w:t xml:space="preserve">To invert a dispersion curve, a theoretical dispersion curve must be computed for candidate layered models. The Thomson–Haskell propagator matrix method calculates the Rayleigh‑wave dispersion relation by multiplying matrices that propagate stress and displacement through each layer; the roots of the resulting secular function yield phase velocities</w:t>
      </w:r>
      <w:hyperlink r:id="rId40">
        <w:r>
          <w:rPr>
            <w:rStyle w:val="Hyperlink"/>
          </w:rPr>
          <w:t xml:space="preserve">[18]</w:t>
        </w:r>
      </w:hyperlink>
      <w:r>
        <w:t xml:space="preserve">. Searching for roots along the velocity axis for each frequency generates a theoretical dispersion curve.</w:t>
      </w:r>
    </w:p>
    <w:p>
      <w:pPr>
        <w:numPr>
          <w:ilvl w:val="0"/>
          <w:numId w:val="1004"/>
        </w:numPr>
      </w:pPr>
      <w:r>
        <w:rPr>
          <w:b/>
          <w:bCs/>
        </w:rPr>
        <w:t xml:space="preserve">Global search algorithms.</w:t>
      </w:r>
      <w:r>
        <w:t xml:space="preserve"> </w:t>
      </w:r>
      <w:r>
        <w:t xml:space="preserve">Because the inverse problem is nonlinear and non‑unique, MASW inversion often uses</w:t>
      </w:r>
      <w:r>
        <w:t xml:space="preserve"> </w:t>
      </w:r>
      <w:r>
        <w:rPr>
          <w:b/>
          <w:bCs/>
        </w:rPr>
        <w:t xml:space="preserve">global optimization</w:t>
      </w:r>
      <w:r>
        <w:t xml:space="preserve">, such as Monte‑Carlo or genetic algorithms. The GA evolves a population of candidate VS profiles (layer thicknesses and shear velocities) to minimize the misfit between theoretical and observed dispersion curves</w:t>
      </w:r>
      <w:hyperlink r:id="rId37">
        <w:r>
          <w:rPr>
            <w:rStyle w:val="Hyperlink"/>
          </w:rPr>
          <w:t xml:space="preserve">[19]</w:t>
        </w:r>
      </w:hyperlink>
      <w:r>
        <w:t xml:space="preserve">. Simulated annealing or Monte‑Carlo sampling can also be used</w:t>
      </w:r>
      <w:hyperlink r:id="rId40">
        <w:r>
          <w:rPr>
            <w:rStyle w:val="Hyperlink"/>
          </w:rPr>
          <w:t xml:space="preserve">[20]</w:t>
        </w:r>
      </w:hyperlink>
      <w:r>
        <w:t xml:space="preserve">.</w:t>
      </w:r>
    </w:p>
    <w:p>
      <w:pPr>
        <w:numPr>
          <w:ilvl w:val="0"/>
          <w:numId w:val="1004"/>
        </w:numPr>
      </w:pPr>
      <w:r>
        <w:rPr>
          <w:b/>
          <w:bCs/>
        </w:rPr>
        <w:t xml:space="preserve">Workflow for inversion:</w:t>
      </w:r>
    </w:p>
    <w:p>
      <w:pPr>
        <w:numPr>
          <w:ilvl w:val="0"/>
          <w:numId w:val="1004"/>
        </w:numPr>
      </w:pPr>
      <w:r>
        <w:rPr>
          <w:b/>
          <w:bCs/>
        </w:rPr>
        <w:t xml:space="preserve">Define parameter space.</w:t>
      </w:r>
      <w:r>
        <w:t xml:space="preserve"> </w:t>
      </w:r>
      <w:r>
        <w:t xml:space="preserve">Specify layer boundaries (number of layers, thickness range) and search bounds for shear‑wave velocity and compressional velocity (or Poisson’s ratio).</w:t>
      </w:r>
    </w:p>
    <w:p>
      <w:pPr>
        <w:numPr>
          <w:ilvl w:val="0"/>
          <w:numId w:val="1004"/>
        </w:numPr>
      </w:pPr>
      <w:r>
        <w:rPr>
          <w:b/>
          <w:bCs/>
        </w:rPr>
        <w:t xml:space="preserve">Forward compute dispersion curves.</w:t>
      </w:r>
      <w:r>
        <w:t xml:space="preserve"> </w:t>
      </w:r>
      <w:r>
        <w:t xml:space="preserve">For each candidate model, compute the theoretical phase velocities using the Thomson–Haskell matrix method</w:t>
      </w:r>
      <w:hyperlink r:id="rId40">
        <w:r>
          <w:rPr>
            <w:rStyle w:val="Hyperlink"/>
          </w:rPr>
          <w:t xml:space="preserve">[18]</w:t>
        </w:r>
      </w:hyperlink>
      <w:r>
        <w:t xml:space="preserve">.</w:t>
      </w:r>
    </w:p>
    <w:p>
      <w:pPr>
        <w:numPr>
          <w:ilvl w:val="0"/>
          <w:numId w:val="1004"/>
        </w:numPr>
      </w:pPr>
      <w:r>
        <w:rPr>
          <w:b/>
          <w:bCs/>
        </w:rPr>
        <w:t xml:space="preserve">Define misfit function.</w:t>
      </w:r>
      <w:r>
        <w:t xml:space="preserve"> </w:t>
      </w:r>
      <w:r>
        <w:t xml:space="preserve">Compute the root‑mean‑square error between theoretical and experimental dispersion curves.</w:t>
      </w:r>
    </w:p>
    <w:p>
      <w:pPr>
        <w:numPr>
          <w:ilvl w:val="0"/>
          <w:numId w:val="1004"/>
        </w:numPr>
      </w:pPr>
      <w:r>
        <w:rPr>
          <w:b/>
          <w:bCs/>
        </w:rPr>
        <w:t xml:space="preserve">Search.</w:t>
      </w:r>
      <w:r>
        <w:t xml:space="preserve"> </w:t>
      </w:r>
      <w:r>
        <w:t xml:space="preserve">Use GA or Monte‑Carlo to evolve candidate models, retaining those with lower misfit. Terminate after a fixed number of iterations or when misfit improvement stalls.</w:t>
      </w:r>
    </w:p>
    <w:p>
      <w:pPr>
        <w:numPr>
          <w:ilvl w:val="0"/>
          <w:numId w:val="1004"/>
        </w:numPr>
      </w:pPr>
      <w:r>
        <w:rPr>
          <w:b/>
          <w:bCs/>
        </w:rPr>
        <w:t xml:space="preserve">Return best‑fit VS profile</w:t>
      </w:r>
      <w:r>
        <w:t xml:space="preserve"> </w:t>
      </w:r>
      <w:r>
        <w:t xml:space="preserve">and optionally the ensemble of near‑best models to assess uncertainty.</w:t>
      </w:r>
    </w:p>
    <w:bookmarkEnd w:id="41"/>
    <w:bookmarkStart w:id="44" w:name="Xb9cf2af29fe9117d5f71aa0536d69c383cacde4"/>
    <w:p>
      <w:pPr>
        <w:pStyle w:val="Heading2"/>
      </w:pPr>
      <w:r>
        <w:t xml:space="preserve">Building pseudo‑2‑D Vs cross‑sections via interpolation</w:t>
      </w:r>
    </w:p>
    <w:p>
      <w:pPr>
        <w:numPr>
          <w:ilvl w:val="0"/>
          <w:numId w:val="1005"/>
        </w:numPr>
      </w:pPr>
      <w:r>
        <w:t xml:space="preserve">After obtaining 1‑D VS profiles at multiple sub‑array midpoints, a</w:t>
      </w:r>
      <w:r>
        <w:t xml:space="preserve"> </w:t>
      </w:r>
      <w:r>
        <w:rPr>
          <w:b/>
          <w:bCs/>
        </w:rPr>
        <w:t xml:space="preserve">pseudo‑2‑D cross‑section</w:t>
      </w:r>
      <w:r>
        <w:t xml:space="preserve"> </w:t>
      </w:r>
      <w:r>
        <w:t xml:space="preserve">is constructed by interpolating the Vs values in both depth and horizontal directions. The flexible sub‑array study with distributed acoustic sensing (DAS) notes that 2‑D MASW aims to produce a pseudo‑2‑D shear‑wave velocity map, and that</w:t>
      </w:r>
      <w:r>
        <w:t xml:space="preserve"> </w:t>
      </w:r>
      <w:r>
        <w:rPr>
          <w:b/>
          <w:bCs/>
        </w:rPr>
        <w:t xml:space="preserve">these cross‑sections are produced by spatially interpolating numerous 1‑D Vs profiles extracted from overlapping sub‑arrays along the testing alignment</w:t>
      </w:r>
      <w:hyperlink r:id="rId42">
        <w:r>
          <w:rPr>
            <w:rStyle w:val="Hyperlink"/>
          </w:rPr>
          <w:t xml:space="preserve">[21]</w:t>
        </w:r>
      </w:hyperlink>
      <w:r>
        <w:t xml:space="preserve">. Sub‑arrays are collected in a roll‑along configuration or recorded simultaneously with DAS, then processed individually</w:t>
      </w:r>
      <w:hyperlink r:id="rId43">
        <w:r>
          <w:rPr>
            <w:rStyle w:val="Hyperlink"/>
          </w:rPr>
          <w:t xml:space="preserve">[22]</w:t>
        </w:r>
      </w:hyperlink>
      <w:r>
        <w:t xml:space="preserve">.</w:t>
      </w:r>
    </w:p>
    <w:p>
      <w:pPr>
        <w:numPr>
          <w:ilvl w:val="0"/>
          <w:numId w:val="1005"/>
        </w:numPr>
      </w:pPr>
      <w:r>
        <w:rPr>
          <w:b/>
          <w:bCs/>
        </w:rPr>
        <w:t xml:space="preserve">Interpolation technique.</w:t>
      </w:r>
      <w:r>
        <w:t xml:space="preserve"> </w:t>
      </w:r>
      <w:r>
        <w:t xml:space="preserve">Arrange all inverted VS profiles in a 2‑D grid where the horizontal axis is the midpoint distance and the vertical axis is depth. Use an interpolation method (e.g., linear interpolation, natural‑neighbor interpolation or kriging) to estimate Vs at grid points between the midpoints. The resulting 2‑D matrix can be displayed as a color‑contour cross‑section. The DAS study emphasises that sub‑array length and overlap affect the resolution of the pseudo‑2‑D cross‑section</w:t>
      </w:r>
      <w:hyperlink r:id="rId42">
        <w:r>
          <w:rPr>
            <w:rStyle w:val="Hyperlink"/>
          </w:rPr>
          <w:t xml:space="preserve">[21]</w:t>
        </w:r>
      </w:hyperlink>
      <w:r>
        <w:t xml:space="preserve">; shorter sub‑arrays provide higher lateral resolution but may reduce depth penetration.</w:t>
      </w:r>
    </w:p>
    <w:bookmarkEnd w:id="44"/>
    <w:bookmarkStart w:id="47" w:name="X31bca8a8c454ab7d34846342ec0a5c87520bc49"/>
    <w:p>
      <w:pPr>
        <w:pStyle w:val="Heading2"/>
      </w:pPr>
      <w:r>
        <w:t xml:space="preserve">Practical steps to implement in</w:t>
      </w:r>
      <w:r>
        <w:t xml:space="preserve"> </w:t>
      </w:r>
      <w:r>
        <w:rPr>
          <w:b/>
          <w:bCs/>
        </w:rPr>
        <w:t xml:space="preserve">SW_Transform</w:t>
      </w:r>
    </w:p>
    <w:p>
      <w:pPr>
        <w:numPr>
          <w:ilvl w:val="0"/>
          <w:numId w:val="1006"/>
        </w:numPr>
      </w:pPr>
      <w:r>
        <w:rPr>
          <w:b/>
          <w:bCs/>
        </w:rPr>
        <w:t xml:space="preserve">Add support for sub‑array selection.</w:t>
      </w:r>
      <w:r>
        <w:br/>
      </w:r>
      <w:r>
        <w:rPr>
          <w:i/>
          <w:iCs/>
        </w:rPr>
        <w:t xml:space="preserve">In theory:</w:t>
      </w:r>
      <w:r>
        <w:t xml:space="preserve"> </w:t>
      </w:r>
      <w:r>
        <w:t xml:space="preserve">Accept parameters specifying desired sub‑array length (number of channels) and an offset index relative to the source. For each shot gather, select a contiguous block of channels starting at</w:t>
      </w:r>
      <w:r>
        <w:t xml:space="preserve"> </w:t>
      </w:r>
      <w:r>
        <w:rPr>
          <w:rStyle w:val="VerbatimChar"/>
        </w:rPr>
        <w:t xml:space="preserve">start_index</w:t>
      </w:r>
      <w:r>
        <w:t xml:space="preserve"> </w:t>
      </w:r>
      <w:r>
        <w:t xml:space="preserve">such that the block has the chosen length.</w:t>
      </w:r>
      <w:r>
        <w:br/>
      </w:r>
      <w:r>
        <w:rPr>
          <w:i/>
          <w:iCs/>
        </w:rPr>
        <w:t xml:space="preserve">In SW_Transform code:</w:t>
      </w:r>
      <w:r>
        <w:t xml:space="preserve"> </w:t>
      </w:r>
      <w:r>
        <w:t xml:space="preserve">Modify the preprocessing pipeline to take a list of channel indices. Use</w:t>
      </w:r>
      <w:r>
        <w:t xml:space="preserve"> </w:t>
      </w:r>
      <w:r>
        <w:rPr>
          <w:rStyle w:val="VerbatimChar"/>
        </w:rPr>
        <w:t xml:space="preserve">seg2.load_seg2_ar</w:t>
      </w:r>
      <w:r>
        <w:t xml:space="preserve"> </w:t>
      </w:r>
      <w:r>
        <w:t xml:space="preserve">to read the full 24‑channel record, then slice the time matrix (</w:t>
      </w:r>
      <w:r>
        <w:rPr>
          <w:rStyle w:val="VerbatimChar"/>
        </w:rPr>
        <w:t xml:space="preserve">timematrix</w:t>
      </w:r>
      <w:r>
        <w:t xml:space="preserve">) columns to keep only the selected channels. The selected sub‑array should be accompanied by the correct channel spacing and first‑break delay information.</w:t>
      </w:r>
    </w:p>
    <w:p>
      <w:pPr>
        <w:numPr>
          <w:ilvl w:val="0"/>
          <w:numId w:val="1006"/>
        </w:numPr>
      </w:pPr>
      <w:r>
        <w:rPr>
          <w:b/>
          <w:bCs/>
        </w:rPr>
        <w:t xml:space="preserve">Generate roll‑along sub‑arrays.</w:t>
      </w:r>
      <w:r>
        <w:br/>
      </w:r>
      <w:r>
        <w:rPr>
          <w:i/>
          <w:iCs/>
        </w:rPr>
        <w:t xml:space="preserve">Theory:</w:t>
      </w:r>
      <w:r>
        <w:t xml:space="preserve"> </w:t>
      </w:r>
      <w:r>
        <w:t xml:space="preserve">Determine the number of sub‑arrays by sliding the selected block along the array so that each sub‑array has the same length and source offset</w:t>
      </w:r>
      <w:r>
        <w:t xml:space="preserve"> </w:t>
      </w:r>
      <m:oMath>
        <m:sSub>
          <m:e>
            <m:r>
              <m:t>X</m:t>
            </m:r>
          </m:e>
          <m:sub>
            <m:r>
              <m:t>1</m:t>
            </m:r>
          </m:sub>
        </m:sSub>
      </m:oMath>
      <w:r>
        <w:t xml:space="preserve">. For a 24‑channel array with 2‑m spacing, sub‑arrays of length 12 channels can be generated by discarding the first and last 6 channels for the first sub‑array, then discarding channels 1–7 and 7–24 for the second, etc. Each sub‑array’s midpoint position increments by 2 m.</w:t>
      </w:r>
      <w:r>
        <w:br/>
      </w:r>
      <w:r>
        <w:rPr>
          <w:i/>
          <w:iCs/>
        </w:rPr>
        <w:t xml:space="preserve">In code:</w:t>
      </w:r>
      <w:r>
        <w:t xml:space="preserve"> </w:t>
      </w:r>
      <w:r>
        <w:t xml:space="preserve">Loop over shot records and, for each shot, create a list of sub‑array channel indices based on the chosen</w:t>
      </w:r>
      <w:r>
        <w:t xml:space="preserve"> </w:t>
      </w:r>
      <w:r>
        <w:rPr>
          <w:rStyle w:val="VerbatimChar"/>
        </w:rPr>
        <w:t xml:space="preserve">n_sub</w:t>
      </w:r>
      <w:r>
        <w:t xml:space="preserve"> </w:t>
      </w:r>
      <w:r>
        <w:t xml:space="preserve">and</w:t>
      </w:r>
      <w:r>
        <w:t xml:space="preserve"> </w:t>
      </w:r>
      <w:r>
        <w:rPr>
          <w:rStyle w:val="VerbatimChar"/>
        </w:rPr>
        <w:t xml:space="preserve">X_1</w:t>
      </w:r>
      <w:r>
        <w:t xml:space="preserve">. For each sub‑array, call the existing</w:t>
      </w:r>
      <w:r>
        <w:t xml:space="preserve"> </w:t>
      </w:r>
      <w:r>
        <w:rPr>
          <w:rStyle w:val="VerbatimChar"/>
        </w:rPr>
        <w:t xml:space="preserve">run_single</w:t>
      </w:r>
      <w:r>
        <w:t xml:space="preserve"> </w:t>
      </w:r>
      <w:r>
        <w:t xml:space="preserve">or</w:t>
      </w:r>
      <w:r>
        <w:t xml:space="preserve"> </w:t>
      </w:r>
      <w:r>
        <w:rPr>
          <w:rStyle w:val="VerbatimChar"/>
        </w:rPr>
        <w:t xml:space="preserve">run_compare</w:t>
      </w:r>
      <w:r>
        <w:t xml:space="preserve"> </w:t>
      </w:r>
      <w:r>
        <w:t xml:space="preserve">functions with</w:t>
      </w:r>
      <w:r>
        <w:t xml:space="preserve"> </w:t>
      </w:r>
      <w:r>
        <w:rPr>
          <w:rStyle w:val="VerbatimChar"/>
        </w:rPr>
        <w:t xml:space="preserve">extra_params</w:t>
      </w:r>
      <w:r>
        <w:t xml:space="preserve"> </w:t>
      </w:r>
      <w:r>
        <w:t xml:space="preserve">specifying the</w:t>
      </w:r>
      <w:r>
        <w:t xml:space="preserve"> </w:t>
      </w:r>
      <w:r>
        <w:rPr>
          <w:rStyle w:val="VerbatimChar"/>
        </w:rPr>
        <w:t xml:space="preserve">selected_channels</w:t>
      </w:r>
      <w:r>
        <w:t xml:space="preserve">.</w:t>
      </w:r>
    </w:p>
    <w:p>
      <w:pPr>
        <w:numPr>
          <w:ilvl w:val="0"/>
          <w:numId w:val="1006"/>
        </w:numPr>
      </w:pPr>
      <w:r>
        <w:rPr>
          <w:b/>
          <w:bCs/>
        </w:rPr>
        <w:t xml:space="preserve">Implement CMP cross‑correlation (optional).</w:t>
      </w:r>
      <w:r>
        <w:br/>
      </w:r>
      <w:r>
        <w:rPr>
          <w:i/>
          <w:iCs/>
        </w:rPr>
        <w:t xml:space="preserve">Theory:</w:t>
      </w:r>
      <w:r>
        <w:t xml:space="preserve"> </w:t>
      </w:r>
      <w:r>
        <w:t xml:space="preserve">For each shot gather, compute the cross‑correlation between all pairs of channels. Group correlations by the average channel index (midpoint) and by spacing. Stack correlations within each group to form CMP‑CC gathers</w:t>
      </w:r>
      <w:hyperlink r:id="rId36">
        <w:r>
          <w:rPr>
            <w:rStyle w:val="Hyperlink"/>
          </w:rPr>
          <w:t xml:space="preserve">[15]</w:t>
        </w:r>
      </w:hyperlink>
      <w:r>
        <w:t xml:space="preserve">. Apply MASW transform (e.g., FDBF, PS, SS) to the CMP‑CC gather to extract dispersion curves.</w:t>
      </w:r>
      <w:r>
        <w:br/>
      </w:r>
      <w:r>
        <w:rPr>
          <w:i/>
          <w:iCs/>
        </w:rPr>
        <w:t xml:space="preserve">In code:</w:t>
      </w:r>
      <w:r>
        <w:t xml:space="preserve"> </w:t>
      </w:r>
      <w:r>
        <w:t xml:space="preserve">Write a function</w:t>
      </w:r>
      <w:r>
        <w:t xml:space="preserve"> </w:t>
      </w:r>
      <w:r>
        <w:rPr>
          <w:rStyle w:val="VerbatimChar"/>
        </w:rPr>
        <w:t xml:space="preserve">compute_cmpcc_gathers(timematrix)</w:t>
      </w:r>
      <w:r>
        <w:t xml:space="preserve"> </w:t>
      </w:r>
      <w:r>
        <w:t xml:space="preserve">that returns a 3‑D array:</w:t>
      </w:r>
      <w:r>
        <w:t xml:space="preserve"> </w:t>
      </w:r>
      <w:r>
        <w:rPr>
          <w:rStyle w:val="VerbatimChar"/>
        </w:rPr>
        <w:t xml:space="preserve">n_midpoints × n_lags × n_spacing</w:t>
      </w:r>
      <w:r>
        <w:t xml:space="preserve">. Use</w:t>
      </w:r>
      <w:r>
        <w:t xml:space="preserve"> </w:t>
      </w:r>
      <w:r>
        <w:rPr>
          <w:rStyle w:val="VerbatimChar"/>
        </w:rPr>
        <w:t xml:space="preserve">numpy.correlate</w:t>
      </w:r>
      <w:r>
        <w:t xml:space="preserve"> </w:t>
      </w:r>
      <w:r>
        <w:t xml:space="preserve">or</w:t>
      </w:r>
      <w:r>
        <w:t xml:space="preserve"> </w:t>
      </w:r>
      <w:r>
        <w:rPr>
          <w:rStyle w:val="VerbatimChar"/>
        </w:rPr>
        <w:t xml:space="preserve">scipy.signal.correlate</w:t>
      </w:r>
      <w:r>
        <w:t xml:space="preserve"> </w:t>
      </w:r>
      <w:r>
        <w:t xml:space="preserve">to compute correlations. Implement a stacking routine. Then feed each CMP‑CC gather into existing processing functions.</w:t>
      </w:r>
    </w:p>
    <w:p>
      <w:pPr>
        <w:numPr>
          <w:ilvl w:val="0"/>
          <w:numId w:val="1006"/>
        </w:numPr>
      </w:pPr>
      <w:r>
        <w:rPr>
          <w:b/>
          <w:bCs/>
        </w:rPr>
        <w:t xml:space="preserve">Process sub‑arrays or CMP‑CC gathers.</w:t>
      </w:r>
      <w:r>
        <w:t xml:space="preserve"> </w:t>
      </w:r>
      <w:r>
        <w:t xml:space="preserve">Use SW_Transform’s</w:t>
      </w:r>
      <w:r>
        <w:t xml:space="preserve"> </w:t>
      </w:r>
      <w:r>
        <w:rPr>
          <w:rStyle w:val="VerbatimChar"/>
        </w:rPr>
        <w:t xml:space="preserve">run_single</w:t>
      </w:r>
      <w:r>
        <w:t xml:space="preserve"> </w:t>
      </w:r>
      <w:r>
        <w:t xml:space="preserve">to compute dispersion curves for each sub‑array.</w:t>
      </w:r>
      <w:r>
        <w:t xml:space="preserve"> </w:t>
      </w:r>
      <w:r>
        <w:rPr>
          <w:rStyle w:val="VerbatimChar"/>
        </w:rPr>
        <w:t xml:space="preserve">run_single</w:t>
      </w:r>
      <w:r>
        <w:t xml:space="preserve"> </w:t>
      </w:r>
      <w:r>
        <w:t xml:space="preserve">already supports multiple methods (</w:t>
      </w:r>
      <w:r>
        <w:rPr>
          <w:rStyle w:val="VerbatimChar"/>
        </w:rPr>
        <w:t xml:space="preserve">fk</w:t>
      </w:r>
      <w:r>
        <w:t xml:space="preserve">,</w:t>
      </w:r>
      <w:r>
        <w:t xml:space="preserve"> </w:t>
      </w:r>
      <w:r>
        <w:rPr>
          <w:rStyle w:val="VerbatimChar"/>
        </w:rPr>
        <w:t xml:space="preserve">fdbf</w:t>
      </w:r>
      <w:r>
        <w:t xml:space="preserve">,</w:t>
      </w:r>
      <w:r>
        <w:t xml:space="preserve"> </w:t>
      </w:r>
      <w:r>
        <w:rPr>
          <w:rStyle w:val="VerbatimChar"/>
        </w:rPr>
        <w:t xml:space="preserve">ps</w:t>
      </w:r>
      <w:r>
        <w:t xml:space="preserve">,</w:t>
      </w:r>
      <w:r>
        <w:t xml:space="preserve"> </w:t>
      </w:r>
      <w:r>
        <w:rPr>
          <w:rStyle w:val="VerbatimChar"/>
        </w:rPr>
        <w:t xml:space="preserve">ss</w:t>
      </w:r>
      <w:r>
        <w:t xml:space="preserve">), vibrosis compensation, and export of power spectra. Collect the dispersion picks (frequency vs. phase velocity) and save them along with the sub‑array midpoint.</w:t>
      </w:r>
    </w:p>
    <w:p>
      <w:pPr>
        <w:numPr>
          <w:ilvl w:val="0"/>
          <w:numId w:val="1006"/>
        </w:numPr>
      </w:pPr>
      <w:r>
        <w:rPr>
          <w:b/>
          <w:bCs/>
        </w:rPr>
        <w:t xml:space="preserve">Invert each dispersion curve.</w:t>
      </w:r>
      <w:r>
        <w:br/>
      </w:r>
      <w:r>
        <w:rPr>
          <w:i/>
          <w:iCs/>
        </w:rPr>
        <w:t xml:space="preserve">Implementation options:</w:t>
      </w:r>
    </w:p>
    <w:p>
      <w:pPr>
        <w:pStyle w:val="Compact"/>
        <w:numPr>
          <w:ilvl w:val="0"/>
          <w:numId w:val="1006"/>
        </w:numPr>
      </w:pPr>
      <w:r>
        <w:rPr>
          <w:b/>
          <w:bCs/>
        </w:rPr>
        <w:t xml:space="preserve">Integrate an open‑source inversion module.</w:t>
      </w:r>
      <w:r>
        <w:t xml:space="preserve"> </w:t>
      </w:r>
      <w:r>
        <w:t xml:space="preserve">Tools like</w:t>
      </w:r>
      <w:r>
        <w:t xml:space="preserve"> </w:t>
      </w:r>
      <w:r>
        <w:rPr>
          <w:b/>
          <w:bCs/>
        </w:rPr>
        <w:t xml:space="preserve">SWIGA</w:t>
      </w:r>
      <w:r>
        <w:t xml:space="preserve"> </w:t>
      </w:r>
      <w:r>
        <w:t xml:space="preserve">(Surface Wave Inversion via Genetic Algorithms) or the</w:t>
      </w:r>
      <w:r>
        <w:t xml:space="preserve"> </w:t>
      </w:r>
      <w:r>
        <w:rPr>
          <w:b/>
          <w:bCs/>
        </w:rPr>
        <w:t xml:space="preserve">MASWaves inversion toolbox</w:t>
      </w:r>
      <w:r>
        <w:t xml:space="preserve"> </w:t>
      </w:r>
      <w:r>
        <w:t xml:space="preserve">provide Python code for genetic‑algorithm inversion of dispersion curves. They implement the Thomson–Haskell forward model and GA search.</w:t>
      </w:r>
    </w:p>
    <w:p>
      <w:pPr>
        <w:numPr>
          <w:ilvl w:val="0"/>
          <w:numId w:val="1006"/>
        </w:numPr>
      </w:pPr>
      <w:r>
        <w:rPr>
          <w:b/>
          <w:bCs/>
        </w:rPr>
        <w:t xml:space="preserve">Implement simple Monte‑Carlo/GA inversion.</w:t>
      </w:r>
      <w:r>
        <w:t xml:space="preserve"> </w:t>
      </w:r>
      <w:r>
        <w:t xml:space="preserve">Write code that generates random VS profiles within specified bounds, computes the theoretical dispersion curve using a propagator matrix (libraries exist, e.g.,</w:t>
      </w:r>
      <w:r>
        <w:t xml:space="preserve"> </w:t>
      </w:r>
      <w:r>
        <w:rPr>
          <w:rStyle w:val="VerbatimChar"/>
        </w:rPr>
        <w:t xml:space="preserve">pyrocko</w:t>
      </w:r>
      <w:r>
        <w:t xml:space="preserve"> </w:t>
      </w:r>
      <w:r>
        <w:t xml:space="preserve">or</w:t>
      </w:r>
      <w:r>
        <w:t xml:space="preserve"> </w:t>
      </w:r>
      <w:r>
        <w:rPr>
          <w:rStyle w:val="VerbatimChar"/>
        </w:rPr>
        <w:t xml:space="preserve">pyTectonics</w:t>
      </w:r>
      <w:r>
        <w:t xml:space="preserve">), and selects the model with minimal misfit. Use GA operators (selection, crossover, mutation) to evolve the population. Use the Wadi Fatima workflow as a template</w:t>
      </w:r>
      <w:hyperlink r:id="rId37">
        <w:r>
          <w:rPr>
            <w:rStyle w:val="Hyperlink"/>
          </w:rPr>
          <w:t xml:space="preserve">[19]</w:t>
        </w:r>
      </w:hyperlink>
      <w:r>
        <w:t xml:space="preserve">.</w:t>
      </w:r>
    </w:p>
    <w:p>
      <w:pPr>
        <w:numPr>
          <w:ilvl w:val="0"/>
          <w:numId w:val="1006"/>
        </w:numPr>
      </w:pPr>
      <w:r>
        <w:rPr>
          <w:b/>
          <w:bCs/>
        </w:rPr>
        <w:t xml:space="preserve">Assemble pseudo‑2‑D Vs cross‑section.</w:t>
      </w:r>
      <w:r>
        <w:br/>
      </w:r>
      <w:r>
        <w:rPr>
          <w:i/>
          <w:iCs/>
        </w:rPr>
        <w:t xml:space="preserve">Theory:</w:t>
      </w:r>
      <w:r>
        <w:t xml:space="preserve"> </w:t>
      </w:r>
      <w:r>
        <w:t xml:space="preserve">Each inverted 1‑D profile corresponds to the midpoint of a sub‑array at position</w:t>
      </w:r>
      <w:r>
        <w:t xml:space="preserve"> </w:t>
      </w:r>
      <m:oMath>
        <m:sSub>
          <m:e>
            <m:r>
              <m:t>x</m:t>
            </m:r>
          </m:e>
          <m:sub>
            <m:r>
              <m:t>i</m:t>
            </m:r>
          </m:sub>
        </m:sSub>
      </m:oMath>
      <w:r>
        <w:t xml:space="preserve">. Let</w:t>
      </w:r>
      <w:r>
        <w:t xml:space="preserve"> </w:t>
      </w:r>
      <w:r>
        <w:rPr>
          <w:rStyle w:val="VerbatimChar"/>
        </w:rPr>
        <w:t xml:space="preserve">VS_i(depth)</w:t>
      </w:r>
      <w:r>
        <w:t xml:space="preserve"> </w:t>
      </w:r>
      <w:r>
        <w:t xml:space="preserve">be the VS values at discrete depths for profile</w:t>
      </w:r>
      <w:r>
        <w:t xml:space="preserve"> </w:t>
      </w:r>
      <w:r>
        <w:rPr>
          <w:rStyle w:val="VerbatimChar"/>
        </w:rPr>
        <w:t xml:space="preserve">i</w:t>
      </w:r>
      <w:r>
        <w:t xml:space="preserve">. To build a 2‑D grid, define a regular horizontal grid spanning the survey length. At each depth level, perform interpolation along the horizontal axis using the discrete</w:t>
      </w:r>
      <w:r>
        <w:t xml:space="preserve"> </w:t>
      </w:r>
      <w:r>
        <w:rPr>
          <w:rStyle w:val="VerbatimChar"/>
        </w:rPr>
        <w:t xml:space="preserve">VS_i</w:t>
      </w:r>
      <w:r>
        <w:t xml:space="preserve">. Linear or natural‑neighbor interpolation can be performed using</w:t>
      </w:r>
      <w:r>
        <w:t xml:space="preserve"> </w:t>
      </w:r>
      <w:r>
        <w:rPr>
          <w:rStyle w:val="VerbatimChar"/>
        </w:rPr>
        <w:t xml:space="preserve">scipy.interpolate.griddata</w:t>
      </w:r>
      <w:r>
        <w:t xml:space="preserve"> </w:t>
      </w:r>
      <w:r>
        <w:t xml:space="preserve">or</w:t>
      </w:r>
      <w:r>
        <w:t xml:space="preserve"> </w:t>
      </w:r>
      <w:r>
        <w:rPr>
          <w:rStyle w:val="VerbatimChar"/>
        </w:rPr>
        <w:t xml:space="preserve">scipy.interpolate.interp1d</w:t>
      </w:r>
      <w:r>
        <w:t xml:space="preserve">. Optionally apply smoothing to reduce interpolation artifacts.</w:t>
      </w:r>
      <w:r>
        <w:br/>
      </w:r>
      <w:r>
        <w:rPr>
          <w:i/>
          <w:iCs/>
        </w:rPr>
        <w:t xml:space="preserve">In code:</w:t>
      </w:r>
      <w:r>
        <w:t xml:space="preserve"> </w:t>
      </w:r>
      <w:r>
        <w:t xml:space="preserve">Create an array</w:t>
      </w:r>
      <w:r>
        <w:t xml:space="preserve"> </w:t>
      </w:r>
      <w:r>
        <w:rPr>
          <w:rStyle w:val="VerbatimChar"/>
        </w:rPr>
        <w:t xml:space="preserve">vs_profiles</w:t>
      </w:r>
      <w:r>
        <w:t xml:space="preserve"> </w:t>
      </w:r>
      <w:r>
        <w:t xml:space="preserve">of shape</w:t>
      </w:r>
      <w:r>
        <w:t xml:space="preserve"> </w:t>
      </w:r>
      <w:r>
        <w:rPr>
          <w:rStyle w:val="VerbatimChar"/>
        </w:rPr>
        <w:t xml:space="preserve">(n_profiles, n_depths)</w:t>
      </w:r>
      <w:r>
        <w:t xml:space="preserve"> </w:t>
      </w:r>
      <w:r>
        <w:t xml:space="preserve">and a corresponding array of midpoints</w:t>
      </w:r>
      <w:r>
        <w:t xml:space="preserve"> </w:t>
      </w:r>
      <w:r>
        <w:rPr>
          <w:rStyle w:val="VerbatimChar"/>
        </w:rPr>
        <w:t xml:space="preserve">x_mid</w:t>
      </w:r>
      <w:r>
        <w:t xml:space="preserve">. Use</w:t>
      </w:r>
      <w:r>
        <w:t xml:space="preserve"> </w:t>
      </w:r>
      <w:r>
        <w:rPr>
          <w:rStyle w:val="VerbatimChar"/>
        </w:rPr>
        <w:t xml:space="preserve">scipy.interpolate.griddata((x_mid, depth), vs_values, (X_grid, Z_grid))</w:t>
      </w:r>
      <w:r>
        <w:t xml:space="preserve"> </w:t>
      </w:r>
      <w:r>
        <w:t xml:space="preserve">to obtain</w:t>
      </w:r>
      <w:r>
        <w:t xml:space="preserve"> </w:t>
      </w:r>
      <w:r>
        <w:rPr>
          <w:rStyle w:val="VerbatimChar"/>
        </w:rPr>
        <w:t xml:space="preserve">vs_grid</w:t>
      </w:r>
      <w:r>
        <w:t xml:space="preserve">. Plot the result using</w:t>
      </w:r>
      <w:r>
        <w:t xml:space="preserve"> </w:t>
      </w:r>
      <w:r>
        <w:rPr>
          <w:rStyle w:val="VerbatimChar"/>
        </w:rPr>
        <w:t xml:space="preserve">matplotlib.pyplot.contourf</w:t>
      </w:r>
      <w:r>
        <w:t xml:space="preserve">.</w:t>
      </w:r>
    </w:p>
    <w:p>
      <w:pPr>
        <w:numPr>
          <w:ilvl w:val="0"/>
          <w:numId w:val="1006"/>
        </w:numPr>
      </w:pPr>
      <w:r>
        <w:rPr>
          <w:b/>
          <w:bCs/>
        </w:rPr>
        <w:t xml:space="preserve">Integrate into SW_Transform user interface.</w:t>
      </w:r>
      <w:r>
        <w:t xml:space="preserve"> </w:t>
      </w:r>
      <w:r>
        <w:t xml:space="preserve">Add GUI and CLI options to specify sub‑array length, source offset, and interpolation parameters. Provide options to export 1‑D VS profiles and the interpolated 2‑D cross‑section as images or numerical grids.</w:t>
      </w:r>
    </w:p>
    <w:bookmarkStart w:id="46" w:name="additional-practical-considerations"/>
    <w:p>
      <w:pPr>
        <w:pStyle w:val="Heading3"/>
      </w:pPr>
      <w:r>
        <w:t xml:space="preserve">Additional practical considerations</w:t>
      </w:r>
    </w:p>
    <w:p>
      <w:pPr>
        <w:numPr>
          <w:ilvl w:val="0"/>
          <w:numId w:val="1007"/>
        </w:numPr>
      </w:pPr>
      <w:r>
        <w:rPr>
          <w:b/>
          <w:bCs/>
        </w:rPr>
        <w:t xml:space="preserve">Resolution vs. depth trade‑off.</w:t>
      </w:r>
      <w:r>
        <w:t xml:space="preserve"> </w:t>
      </w:r>
      <w:r>
        <w:t xml:space="preserve">A shorter sub‑array (fewer channels) gives higher lateral resolution but reduces the maximum resolvable wavelength and depth of investigation</w:t>
      </w:r>
      <w:hyperlink r:id="rId27">
        <w:r>
          <w:rPr>
            <w:rStyle w:val="Hyperlink"/>
          </w:rPr>
          <w:t xml:space="preserve">[7]</w:t>
        </w:r>
      </w:hyperlink>
      <w:r>
        <w:t xml:space="preserve">. The user should choose sub‑array length according to target depth.</w:t>
      </w:r>
    </w:p>
    <w:p>
      <w:pPr>
        <w:numPr>
          <w:ilvl w:val="0"/>
          <w:numId w:val="1007"/>
        </w:numPr>
      </w:pPr>
      <w:r>
        <w:rPr>
          <w:b/>
          <w:bCs/>
        </w:rPr>
        <w:t xml:space="preserve">Noise and stacking.</w:t>
      </w:r>
      <w:r>
        <w:t xml:space="preserve"> </w:t>
      </w:r>
      <w:r>
        <w:t xml:space="preserve">Using multiple shots and stacking dispersion curves across shots or CMP‑CC gathers improves signal‑to‑noise ratio. In vibrosis surveys, frequency‑domain weighting may be applied (as already implemented in SW_Transform’s FDBF method).</w:t>
      </w:r>
    </w:p>
    <w:p>
      <w:pPr>
        <w:numPr>
          <w:ilvl w:val="0"/>
          <w:numId w:val="1007"/>
        </w:numPr>
      </w:pPr>
      <w:r>
        <w:rPr>
          <w:b/>
          <w:bCs/>
        </w:rPr>
        <w:t xml:space="preserve">Validation.</w:t>
      </w:r>
      <w:r>
        <w:t xml:space="preserve"> </w:t>
      </w:r>
      <w:r>
        <w:t xml:space="preserve">Compare the pseudo‑2‑D Vs cross‑section with invasive measurements (e.g., Cone Penetration Test data) or other geophysical methods, as done in DAS case studies</w:t>
      </w:r>
      <w:hyperlink r:id="rId45">
        <w:r>
          <w:rPr>
            <w:rStyle w:val="Hyperlink"/>
          </w:rPr>
          <w:t xml:space="preserve">[23]</w:t>
        </w:r>
      </w:hyperlink>
      <w:r>
        <w:t xml:space="preserve">.</w:t>
      </w:r>
    </w:p>
    <w:p>
      <w:pPr>
        <w:numPr>
          <w:ilvl w:val="0"/>
          <w:numId w:val="1007"/>
        </w:numPr>
      </w:pPr>
      <w:r>
        <w:rPr>
          <w:b/>
          <w:bCs/>
        </w:rPr>
        <w:t xml:space="preserve">Open‑source resources.</w:t>
      </w:r>
      <w:r>
        <w:t xml:space="preserve"> </w:t>
      </w:r>
      <w:r>
        <w:t xml:space="preserve">Although SurfSeis is commercial, the open‑source MASW inversion tool (MASWaves) provides functions for dispersion extraction and inversion that can serve as templates. The CMP‑CC implementation described above is not yet available in a Python library, so its integration would be a novel contribution.</w:t>
      </w:r>
    </w:p>
    <w:bookmarkEnd w:id="46"/>
    <w:bookmarkEnd w:id="47"/>
    <w:bookmarkEnd w:id="48"/>
    <w:bookmarkEnd w:id="49"/>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24">
        <w:r>
          <w:rPr>
            <w:rStyle w:val="Hyperlink"/>
          </w:rPr>
          <w:t xml:space="preserve">[11]</w:t>
        </w:r>
      </w:hyperlink>
      <w:r>
        <w:t xml:space="preserve"> </w:t>
      </w:r>
      <w:r>
        <w:t xml:space="preserve">Roll-Along Format for 2D Cross Section</w:t>
      </w:r>
    </w:p>
    <w:p>
      <w:pPr>
        <w:pStyle w:val="BodyText"/>
      </w:pPr>
      <w:hyperlink r:id="rId50">
        <w:r>
          <w:rPr>
            <w:rStyle w:val="Hyperlink"/>
          </w:rPr>
          <w:t xml:space="preserve">https://www.masw.com/RollAlongACQ.html</w:t>
        </w:r>
      </w:hyperlink>
    </w:p>
    <w:p>
      <w:pPr>
        <w:pStyle w:val="BodyText"/>
      </w:pPr>
      <w:hyperlink r:id="rId26">
        <w:r>
          <w:rPr>
            <w:rStyle w:val="Hyperlink"/>
          </w:rPr>
          <w:t xml:space="preserve">[6]</w:t>
        </w:r>
      </w:hyperlink>
      <w:r>
        <w:t xml:space="preserve"> </w:t>
      </w:r>
      <w:r>
        <w:t xml:space="preserve">Optimum Offset and Dispersion Image</w:t>
      </w:r>
    </w:p>
    <w:p>
      <w:pPr>
        <w:pStyle w:val="BodyText"/>
      </w:pPr>
      <w:hyperlink r:id="rId26">
        <w:r>
          <w:rPr>
            <w:rStyle w:val="Hyperlink"/>
          </w:rPr>
          <w:t xml:space="preserve">https://www.masw.com/OptimumOffsetDispersion.html</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7">
        <w:r>
          <w:rPr>
            <w:rStyle w:val="Hyperlink"/>
          </w:rPr>
          <w:t xml:space="preserve">[19]</w:t>
        </w:r>
      </w:hyperlink>
      <w:r>
        <w:t xml:space="preserve"> </w:t>
      </w:r>
      <w:r>
        <w:t xml:space="preserve">MASW Survey with Fixed Receiver Geometry and CMP Cross-Correlation Technique for Data Processing: A Case Study of Wadi Fatima, Western Saudi Arabia</w:t>
      </w:r>
    </w:p>
    <w:p>
      <w:pPr>
        <w:pStyle w:val="BodyText"/>
      </w:pPr>
      <w:hyperlink r:id="rId51">
        <w:r>
          <w:rPr>
            <w:rStyle w:val="Hyperlink"/>
          </w:rPr>
          <w:t xml:space="preserve">https://file.scirp.org/Html/1-1211073_84426.htm</w:t>
        </w:r>
      </w:hyperlink>
    </w:p>
    <w:p>
      <w:pPr>
        <w:pStyle w:val="BodyText"/>
      </w:pPr>
      <w:hyperlink r:id="rId40">
        <w:r>
          <w:rPr>
            <w:rStyle w:val="Hyperlink"/>
          </w:rPr>
          <w:t xml:space="preserve">[18]</w:t>
        </w:r>
      </w:hyperlink>
      <w:r>
        <w:t xml:space="preserve"> </w:t>
      </w:r>
      <w:hyperlink r:id="rId40">
        <w:r>
          <w:rPr>
            <w:rStyle w:val="Hyperlink"/>
          </w:rPr>
          <w:t xml:space="preserve">[20]</w:t>
        </w:r>
      </w:hyperlink>
      <w:r>
        <w:t xml:space="preserve"> </w:t>
      </w:r>
      <w:r>
        <w:t xml:space="preserve">Comparison of different surface wave inversion methods in engineering scale</w:t>
      </w:r>
    </w:p>
    <w:p>
      <w:pPr>
        <w:pStyle w:val="BodyText"/>
      </w:pPr>
      <w:hyperlink r:id="rId52">
        <w:r>
          <w:rPr>
            <w:rStyle w:val="Hyperlink"/>
          </w:rPr>
          <w:t xml:space="preserve">https://www.crewes.org/Documents/ResearchReports/2019/CRR201946.pdf</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hyperlink r:id="rId45">
        <w:r>
          <w:rPr>
            <w:rStyle w:val="Hyperlink"/>
          </w:rPr>
          <w:t xml:space="preserve">[23]</w:t>
        </w:r>
      </w:hyperlink>
      <w:r>
        <w:t xml:space="preserve"> </w:t>
      </w:r>
      <w:r>
        <w:t xml:space="preserve">(PDF) DAS for 2D MASW Imaging: A Case Study on the Benefits of Flexible Sub-Array Processing</w:t>
      </w:r>
    </w:p>
    <w:p>
      <w:pPr>
        <w:pStyle w:val="BodyText"/>
      </w:pPr>
      <w:hyperlink r:id="rId42">
        <w:r>
          <w:rPr>
            <w:rStyle w:val="Hyperlink"/>
          </w:rPr>
          <w:t xml:space="preserve">https://www.researchgate.net/publication/364772217_DAS_for_2D_MASW_Imaging_A_Case_Study_on_the_Benefits_of_Flexible_Sub-Array_Processing</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file.scirp.org/Html/1-1211073_84426.htm" TargetMode="External" /><Relationship Type="http://schemas.openxmlformats.org/officeDocument/2006/relationships/hyperlink" Id="rId37" Target="https://file.scirp.org/Html/1-1211073_84426.htm#:~:text=4" TargetMode="External" /><Relationship Type="http://schemas.openxmlformats.org/officeDocument/2006/relationships/hyperlink" Id="rId33" Target="https://file.scirp.org/Html/1-1211073_84426.htm#:~:text=The%20Common%20Midpoint%20%28CMP%29%20cross,squares%20approach%20%5B31%5D" TargetMode="External" /><Relationship Type="http://schemas.openxmlformats.org/officeDocument/2006/relationships/hyperlink" Id="rId34" Target="https://file.scirp.org/Html/1-1211073_84426.htm#:~:text=gathers%20is%20as%20follows%3A%20First%2C,are%20stacked%20in%20time%20domain" TargetMode="External" /><Relationship Type="http://schemas.openxmlformats.org/officeDocument/2006/relationships/hyperlink" Id="rId35" Target="https://file.scirp.org/Html/1-1211073_84426.htm#:~:text=gathers%20is%20as%20follows%3A%20First%2C,correlation" TargetMode="External" /><Relationship Type="http://schemas.openxmlformats.org/officeDocument/2006/relationships/hyperlink" Id="rId36" Target="https://file.scirp.org/Html/1-1211073_84426.htm#:~:text=gathers%20is%20as%20follows%3A%20First%2C,utilized%20to%20obtain%20inversion%20of" TargetMode="External" /><Relationship Type="http://schemas.openxmlformats.org/officeDocument/2006/relationships/hyperlink" Id="rId38" Target="https://file.scirp.org/Html/1-1211073_84426.htm#:~:text=provided%20by%20genetic%20algorithm%20,Figure%206" TargetMode="External" /><Relationship Type="http://schemas.openxmlformats.org/officeDocument/2006/relationships/hyperlink" Id="rId52" Target="https://www.crewes.org/Documents/ResearchReports/2019/CRR201946.pdf" TargetMode="External" /><Relationship Type="http://schemas.openxmlformats.org/officeDocument/2006/relationships/hyperlink" Id="rId40" Target="https://www.crewes.org/Documents/ResearchReports/2019/CRR201946.pdf#:~:text=techniques%20%28Thom,2019" TargetMode="External" /><Relationship Type="http://schemas.openxmlformats.org/officeDocument/2006/relationships/hyperlink" Id="rId26" Target="https://www.masw.com/OptimumOffsetDispersion.html" TargetMode="External" /><Relationship Type="http://schemas.openxmlformats.org/officeDocument/2006/relationships/hyperlink" Id="rId50" Target="https://www.masw.com/RollAlongACQ.html" TargetMode="External" /><Relationship Type="http://schemas.openxmlformats.org/officeDocument/2006/relationships/hyperlink" Id="rId23" Target="https://www.masw.com/RollAlongACQ.html#:~:text=A%20roll,recompilation%20approach%20is%20a%20post" TargetMode="External" /><Relationship Type="http://schemas.openxmlformats.org/officeDocument/2006/relationships/hyperlink" Id="rId29" Target="https://www.masw.com/RollAlongACQ.html#:~:text=First%2C%20choose%20a%20source%20offset,X1%20distance%20ahead%20of%20the" TargetMode="External" /><Relationship Type="http://schemas.openxmlformats.org/officeDocument/2006/relationships/hyperlink" Id="rId30" Target="https://www.masw.com/RollAlongACQ.html#:~:text=First%2C%20choose%20a%20source%20offset,configurations%20specified%20in%20Table%201" TargetMode="External" /><Relationship Type="http://schemas.openxmlformats.org/officeDocument/2006/relationships/hyperlink" Id="rId25" Target="https://www.masw.com/RollAlongACQ.html#:~:text=First%2C%20choose%20a%20source%20offset,obtained%20through%20the%20normal%20MASW" TargetMode="External" /><Relationship Type="http://schemas.openxmlformats.org/officeDocument/2006/relationships/hyperlink" Id="rId24" Target="https://www.masw.com/RollAlongACQ.html#:~:text=Preparation%20of%20Roll,channel%20Acquisition" TargetMode="External" /><Relationship Type="http://schemas.openxmlformats.org/officeDocument/2006/relationships/hyperlink" Id="rId27" Target="https://www.masw.com/RollAlongACQ.html#:~:text=The%20receiver%20spacing%20,channel%20acquisition" TargetMode="External" /><Relationship Type="http://schemas.openxmlformats.org/officeDocument/2006/relationships/hyperlink" Id="rId22" Target="https://www.masw.com/RollAlongACQ.html#:~:text=To%20generate%20a%202,cross%20section%20can%20become%20unreliable" TargetMode="External" /><Relationship Type="http://schemas.openxmlformats.org/officeDocument/2006/relationships/hyperlink" Id="rId21" Target="https://www.masw.com/RollAlongACQ.html#:~:text=To%20generate%20a%202,images%20adversely%20influenced%20by%20the" TargetMode="External" /><Relationship Type="http://schemas.openxmlformats.org/officeDocument/2006/relationships/hyperlink" Id="rId28" Target="https://www.masw.com/RollAlongACQ.html#:~:text=investigation%20depth%20%28Zmax%29,accuracy%20of%20the%20overall%20data" TargetMode="External" /><Relationship Type="http://schemas.openxmlformats.org/officeDocument/2006/relationships/hyperlink" Id="rId42" Target="https://www.researchgate.net/publication/364772217_DAS_for_2D_MASW_Imaging_A_Case_Study_on_the_Benefits_of_Flexible_Sub-Array_Processing" TargetMode="External" /><Relationship Type="http://schemas.openxmlformats.org/officeDocument/2006/relationships/hyperlink" Id="rId45" Target="https://www.researchgate.net/publication/364772217_DAS_for_2D_MASW_Imaging_A_Case_Study_on_the_Benefits_of_Flexible_Sub-Array_Processing#:~:text=2D%20MASW%20results%20at%20a,study%20site%20and%20evaluate%20those" TargetMode="External" /><Relationship Type="http://schemas.openxmlformats.org/officeDocument/2006/relationships/hyperlink" Id="rId43" Target="https://www.researchgate.net/publication/364772217_DAS_for_2D_MASW_Imaging_A_Case_Study_on_the_Benefits_of_Flexible_Sub-Array_Processing#:~:text=of%20shear,subsurface%20%20layering%20%20and" TargetMode="External" /></Relationships>
</file>

<file path=word/_rels/footnotes.xml.rels><?xml version="1.0" encoding="UTF-8"?><Relationships xmlns="http://schemas.openxmlformats.org/package/2006/relationships"><Relationship Type="http://schemas.openxmlformats.org/officeDocument/2006/relationships/hyperlink" Id="rId51" Target="https://file.scirp.org/Html/1-1211073_84426.htm" TargetMode="External" /><Relationship Type="http://schemas.openxmlformats.org/officeDocument/2006/relationships/hyperlink" Id="rId37" Target="https://file.scirp.org/Html/1-1211073_84426.htm#:~:text=4" TargetMode="External" /><Relationship Type="http://schemas.openxmlformats.org/officeDocument/2006/relationships/hyperlink" Id="rId33" Target="https://file.scirp.org/Html/1-1211073_84426.htm#:~:text=The%20Common%20Midpoint%20%28CMP%29%20cross,squares%20approach%20%5B31%5D" TargetMode="External" /><Relationship Type="http://schemas.openxmlformats.org/officeDocument/2006/relationships/hyperlink" Id="rId34" Target="https://file.scirp.org/Html/1-1211073_84426.htm#:~:text=gathers%20is%20as%20follows%3A%20First%2C,are%20stacked%20in%20time%20domain" TargetMode="External" /><Relationship Type="http://schemas.openxmlformats.org/officeDocument/2006/relationships/hyperlink" Id="rId35" Target="https://file.scirp.org/Html/1-1211073_84426.htm#:~:text=gathers%20is%20as%20follows%3A%20First%2C,correlation" TargetMode="External" /><Relationship Type="http://schemas.openxmlformats.org/officeDocument/2006/relationships/hyperlink" Id="rId36" Target="https://file.scirp.org/Html/1-1211073_84426.htm#:~:text=gathers%20is%20as%20follows%3A%20First%2C,utilized%20to%20obtain%20inversion%20of" TargetMode="External" /><Relationship Type="http://schemas.openxmlformats.org/officeDocument/2006/relationships/hyperlink" Id="rId38" Target="https://file.scirp.org/Html/1-1211073_84426.htm#:~:text=provided%20by%20genetic%20algorithm%20,Figure%206" TargetMode="External" /><Relationship Type="http://schemas.openxmlformats.org/officeDocument/2006/relationships/hyperlink" Id="rId52" Target="https://www.crewes.org/Documents/ResearchReports/2019/CRR201946.pdf" TargetMode="External" /><Relationship Type="http://schemas.openxmlformats.org/officeDocument/2006/relationships/hyperlink" Id="rId40" Target="https://www.crewes.org/Documents/ResearchReports/2019/CRR201946.pdf#:~:text=techniques%20%28Thom,2019" TargetMode="External" /><Relationship Type="http://schemas.openxmlformats.org/officeDocument/2006/relationships/hyperlink" Id="rId26" Target="https://www.masw.com/OptimumOffsetDispersion.html" TargetMode="External" /><Relationship Type="http://schemas.openxmlformats.org/officeDocument/2006/relationships/hyperlink" Id="rId50" Target="https://www.masw.com/RollAlongACQ.html" TargetMode="External" /><Relationship Type="http://schemas.openxmlformats.org/officeDocument/2006/relationships/hyperlink" Id="rId23" Target="https://www.masw.com/RollAlongACQ.html#:~:text=A%20roll,recompilation%20approach%20is%20a%20post" TargetMode="External" /><Relationship Type="http://schemas.openxmlformats.org/officeDocument/2006/relationships/hyperlink" Id="rId29" Target="https://www.masw.com/RollAlongACQ.html#:~:text=First%2C%20choose%20a%20source%20offset,X1%20distance%20ahead%20of%20the" TargetMode="External" /><Relationship Type="http://schemas.openxmlformats.org/officeDocument/2006/relationships/hyperlink" Id="rId30" Target="https://www.masw.com/RollAlongACQ.html#:~:text=First%2C%20choose%20a%20source%20offset,configurations%20specified%20in%20Table%201" TargetMode="External" /><Relationship Type="http://schemas.openxmlformats.org/officeDocument/2006/relationships/hyperlink" Id="rId25" Target="https://www.masw.com/RollAlongACQ.html#:~:text=First%2C%20choose%20a%20source%20offset,obtained%20through%20the%20normal%20MASW" TargetMode="External" /><Relationship Type="http://schemas.openxmlformats.org/officeDocument/2006/relationships/hyperlink" Id="rId24" Target="https://www.masw.com/RollAlongACQ.html#:~:text=Preparation%20of%20Roll,channel%20Acquisition" TargetMode="External" /><Relationship Type="http://schemas.openxmlformats.org/officeDocument/2006/relationships/hyperlink" Id="rId27" Target="https://www.masw.com/RollAlongACQ.html#:~:text=The%20receiver%20spacing%20,channel%20acquisition" TargetMode="External" /><Relationship Type="http://schemas.openxmlformats.org/officeDocument/2006/relationships/hyperlink" Id="rId22" Target="https://www.masw.com/RollAlongACQ.html#:~:text=To%20generate%20a%202,cross%20section%20can%20become%20unreliable" TargetMode="External" /><Relationship Type="http://schemas.openxmlformats.org/officeDocument/2006/relationships/hyperlink" Id="rId21" Target="https://www.masw.com/RollAlongACQ.html#:~:text=To%20generate%20a%202,images%20adversely%20influenced%20by%20the" TargetMode="External" /><Relationship Type="http://schemas.openxmlformats.org/officeDocument/2006/relationships/hyperlink" Id="rId28" Target="https://www.masw.com/RollAlongACQ.html#:~:text=investigation%20depth%20%28Zmax%29,accuracy%20of%20the%20overall%20data" TargetMode="External" /><Relationship Type="http://schemas.openxmlformats.org/officeDocument/2006/relationships/hyperlink" Id="rId42" Target="https://www.researchgate.net/publication/364772217_DAS_for_2D_MASW_Imaging_A_Case_Study_on_the_Benefits_of_Flexible_Sub-Array_Processing" TargetMode="External" /><Relationship Type="http://schemas.openxmlformats.org/officeDocument/2006/relationships/hyperlink" Id="rId45" Target="https://www.researchgate.net/publication/364772217_DAS_for_2D_MASW_Imaging_A_Case_Study_on_the_Benefits_of_Flexible_Sub-Array_Processing#:~:text=2D%20MASW%20results%20at%20a,study%20site%20and%20evaluate%20those" TargetMode="External" /><Relationship Type="http://schemas.openxmlformats.org/officeDocument/2006/relationships/hyperlink" Id="rId43" Target="https://www.researchgate.net/publication/364772217_DAS_for_2D_MASW_Imaging_A_Case_Study_on_the_Benefits_of_Flexible_Sub-Array_Processing#:~:text=of%20shear,subsurface%20%20layering%20%20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2025-11-29T18:29:43Z</dcterms:created>
  <dcterms:modified xsi:type="dcterms:W3CDTF">2025-11-29T18:29:43Z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