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B365D"/>
          <w:sz w:val="40"/>
        </w:rPr>
        <w:t>Klinik Depresyon Vakalarında Kırmızı Bayrak (Red Flag) Değerlendirmesi</w:t>
      </w:r>
    </w:p>
    <w:p>
      <w:pPr>
        <w:spacing w:after="320"/>
      </w:pPr>
      <w:r>
        <w:rPr>
          <w:rFonts w:ascii="Arial" w:hAnsi="Arial"/>
          <w:i/>
          <w:color w:val="646464"/>
          <w:sz w:val="22"/>
        </w:rPr>
        <w:t>50 Klinik Senaryo Özelinde Risk Analizi, Eşleşen Belirtiler ve Acil Müdahale Protokolü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1B365D"/>
          <w:sz w:val="28"/>
        </w:rPr>
        <w:t>1. Güncel Literatür Bağlamında Kırmızı Bayrak (Red Flag) Tanımı</w:t>
      </w:r>
    </w:p>
    <w:p>
      <w:pPr>
        <w:spacing w:after="160" w:line="276" w:lineRule="auto"/>
      </w:pPr>
      <w:r>
        <w:rPr>
          <w:rFonts w:ascii="Arial" w:hAnsi="Arial"/>
          <w:color w:val="282828"/>
          <w:sz w:val="20"/>
        </w:rPr>
        <w:t>Psikiyatri ve klinik tıp literatüründe kırmızı bayrak (red flag) kavramı; hastanın yaşamını, fiziksel bütünlüğünü veya bilişsel/ruhsal stabilitesini acil ya da yakın tehdit altına sokan; standart poliklinik/ayaktan tedavi sürecinden hızla sapmayı, acil müdahaleyi veya ileri sevk protokollerini gerektiren yüksek riskli klinik bulgu ve semptomları ifade eder.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B42828"/>
          <w:sz w:val="20"/>
        </w:rPr>
        <w:t xml:space="preserve">İntihar ve Kendine Zarar Verme Riski: </w:t>
      </w:r>
      <w:r>
        <w:rPr>
          <w:rFonts w:ascii="Arial" w:hAnsi="Arial"/>
          <w:color w:val="282828"/>
          <w:sz w:val="20"/>
        </w:rPr>
        <w:t>Aktif özkıyım planı, niyeti, hazırlığı (ör. veda mektubu, eşyalarını dağıtma), yüksek letalite içeren pasif ölüm düşünceleri veya yakın zamanda geçirilmiş girişimler.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B42828"/>
          <w:sz w:val="20"/>
        </w:rPr>
        <w:t xml:space="preserve">Başkalarına Zarar Verme Riski (Homisid / Şiddet): </w:t>
      </w:r>
      <w:r>
        <w:rPr>
          <w:rFonts w:ascii="Arial" w:hAnsi="Arial"/>
          <w:color w:val="282828"/>
          <w:sz w:val="20"/>
        </w:rPr>
        <w:t>Kontrol edilemeyen patlayıcı öfke, başkalarına yönelik açık tehditler veya delüzyonel hezeyanlara bağlı saldırganlık potansiyeli.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B42828"/>
          <w:sz w:val="20"/>
        </w:rPr>
        <w:t xml:space="preserve">Gerçeği Değerlendirme Yetisinin Kaybı (Psikoz): </w:t>
      </w:r>
      <w:r>
        <w:rPr>
          <w:rFonts w:ascii="Arial" w:hAnsi="Arial"/>
          <w:color w:val="282828"/>
          <w:sz w:val="20"/>
        </w:rPr>
        <w:t>Çökkün duygudurumla uyumlu veya uyumsuz sanrılar (ör. nihilizm, Cotard sendromu, somatik/paranoid delüzyonlar) ve halüsinasyonlar.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B42828"/>
          <w:sz w:val="20"/>
        </w:rPr>
        <w:t xml:space="preserve">Kritik Biyomedikal / Organik Etiyolojiler: </w:t>
      </w:r>
      <w:r>
        <w:rPr>
          <w:rFonts w:ascii="Arial" w:hAnsi="Arial"/>
          <w:color w:val="282828"/>
          <w:sz w:val="20"/>
        </w:rPr>
        <w:t>Hızla ilerleyen kognitif bozulma, endokrin patolojiler, serebrovasküler hasarlar, maligniteler veya madde/ilaç toksisitesi ve ani yoksunluk çöküşleri.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B42828"/>
          <w:sz w:val="20"/>
        </w:rPr>
        <w:t xml:space="preserve">Ağır Kendini İhmal ve Tedavi Reddi: </w:t>
      </w:r>
      <w:r>
        <w:rPr>
          <w:rFonts w:ascii="Arial" w:hAnsi="Arial"/>
          <w:color w:val="282828"/>
          <w:sz w:val="20"/>
        </w:rPr>
        <w:t>Temel sıvı-gıda alımının kesilmesi (kaşeksi, dehidratasyon riski), katatoni, psikomotor stupor ve hekim/ilaç iş birliğini tamamen reddetme hali.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1B365D"/>
          <w:sz w:val="28"/>
        </w:rPr>
        <w:t>2. Klinik Senaryolar Özelinde Eşleşen Kırmızı Bayrak Listesi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3D3D3"/>
          <w:bottom w:val="single" w:sz="6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Vaka No ve Tanım</w:t>
            </w:r>
          </w:p>
        </w:tc>
        <w:tc>
          <w:tcPr>
            <w:tcW w:type="dxa" w:w="2592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Saptanan Kırmızı Bayrak</w:t>
            </w:r>
          </w:p>
        </w:tc>
        <w:tc>
          <w:tcPr>
            <w:tcW w:type="dxa" w:w="2016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Risk Niteliği</w:t>
            </w:r>
          </w:p>
        </w:tc>
        <w:tc>
          <w:tcPr>
            <w:tcW w:type="dxa" w:w="3312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Yapılması Gerekenler (Müdahale)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82828"/>
                <w:sz w:val="17"/>
              </w:rPr>
              <w:t>Vaka 43</w:t>
              <w:br/>
              <w:t>(Kokain / Uyarıcı Yoksunluğu Sonrası Çöküş)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Yoğun intihar düşünceleri ve ani yoksunluk disforisi ('crash')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Akut Özkıyım Riski &amp; Madde Yoksunluk Krizi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• Acil psikiyatrik kriz değerlendirmesi yapılmalı, hasta gözetim altına alınmalıdır.</w:t>
              <w:br/>
              <w:t>• Toksikoloji taraması tekrarlanmalı; ajitasyon ve yoksunluk semptomları için semptomatik medikal tedavi başlanmalıdır.</w:t>
              <w:br/>
              <w:t>• Bağımlılık kliniğine (AMATEM vb.) yatarak tedavi endikasyonu değerlendirilmelidir.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82828"/>
                <w:sz w:val="17"/>
              </w:rPr>
              <w:t>Vaka 12</w:t>
              <w:br/>
              <w:t>(Psikotik Özellikli MDD - Nihilistik Sanrılar)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Nihilistik sanrılar ('organlarım çürüdü', aileyi iflasa sürükleme delüzyonu)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Psikotik Depresyon &amp; Gerçeği Değerlendirme Bozukluğu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• Antidepresan tek başına yetersizdir; antipsikotik + antidepresan kombinasyonu hızla başlanmalıdır.</w:t>
              <w:br/>
              <w:t>• Ağır hezeyanlar, beslenme reddi veya intihar riski eşlik ediyorsa acil EKT (Elektrokonvülsif Terapi) seçeneği değerlendirilmelidir.</w:t>
              <w:br/>
              <w:t>• Kapalı psikiyatri servisine yatış planlanmalıdır.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82828"/>
                <w:sz w:val="17"/>
              </w:rPr>
              <w:t>Vaka 8</w:t>
              <w:br/>
              <w:t>(Pasif Ölüm Düşünceleri ile Seyreden MDD)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'Keşke sabah uyanmasam, her şey sona erse' şeklinde pasif özkıyım düşünceleri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Özkıyım Riskinin Aktifleşme Potansiyeli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• C-SSRS (Columbia İntihar Şiddetini Değerlendirme Ölçeği) uygulanarak pasif düşüncenin aktif plana dönüşme riski taranmalıdır.</w:t>
              <w:br/>
              <w:t>• Güvenlik planı (Safety Planning Intervention) oluşturulmalı; evdeki potansiyel letal araçlar (ilaç, silah vb.) güvenceye alınmalıdır.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82828"/>
                <w:sz w:val="17"/>
              </w:rPr>
              <w:t>Vaka 38</w:t>
              <w:br/>
              <w:t>(Aybaşı Öncesi Disfori Bozukluğu - PMDD)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Luteal fazda tetiklenen derin keder ve pasif intihar düşünceleri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Döngüsel Akut İntihar Riski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• Siklik SSRI (yalnızca luteal fazda) veya sürekli SSRI protokolü ile kadın doğum konsültasyonu (oral kontraseptifler vb.) planlanmalıdır.</w:t>
              <w:br/>
              <w:t>• Menstrüel kriz takvimi çıkarılmalı; luteal faz döneminde acil destek ve yakın takip protokolü devreye sokulmalıdır.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82828"/>
                <w:sz w:val="17"/>
              </w:rPr>
              <w:t>Vaka 25</w:t>
              <w:br/>
              <w:t>(Şiddetli Psikomotor Retardasyon)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İleri derece psikomotor yavaşlama, monoton fısıltılı konuşma, dükkanını açamama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Katatoni Öncesi Durum, Beslenme/Sıvı İhmali Riski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• Bush-Francis Katatoni Değerlendirme Ölçeği ile stupor ve katatoni yönünden taranmalıdır.</w:t>
              <w:br/>
              <w:t>• Dehidratasyon, malnütrisyon ve derin ven trombozu (DVT) riskine karşı vital bulgular ve biyokimya izlenmelidir; hızlı yanıt için farmakolojik tedavi veya EKT düşünülmelidir.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82828"/>
                <w:sz w:val="17"/>
              </w:rPr>
              <w:t>Vaka 41</w:t>
              <w:br/>
              <w:t>(Sistemik Kortikosteroid Kullanımına Bağlı Depresyon)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Yüksek doz prednizolon tedavisi sırasında ortaya çıkan pasif ölüm düşünceleri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İlaç Kaynaklı Toksisite / İyatrojenik İntihar Riski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• Romatoloji hekimiyle derhal konsülte edilerek steroid dozunun kademeli (tapering) azaltılması veya alternatif immünsüpresiflere geçiş planlanmalıdır.</w:t>
              <w:br/>
              <w:t>• Tablo düzelene kadar duygudurum dengeleyici/antidepresan başlanmalı ve hasta intihar açısından yakın takibe alınmalıdır.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82828"/>
                <w:sz w:val="17"/>
              </w:rPr>
              <w:t>Vaka 50</w:t>
              <w:br/>
              <w:t>(Pankreas Kanseri ile İlişkili Erken Başlangıçlı Depresyon)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Ani başlayan tedaviye dirençli çökkünlük ve erken evre pankreas adenokarsinoması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Maligniteye Bağlı Organik / Paraneoplastik Tablo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• Öncelik primer onkolojik cerrahi ve sistemik tedavidir.</w:t>
              <w:br/>
              <w:t>• Nöroinflamatuar sitokinlerin (IL-6, TNF-alfa) etkilerini ve toleransı yönetmek adına onkoloji ile koordineli psiko-onkolojik farmakoterapi ve palyatif destek başlatılmalıdır.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82828"/>
                <w:sz w:val="17"/>
              </w:rPr>
              <w:t>Vaka 15</w:t>
              <w:br/>
              <w:t>(İşlevsellik Kaybı &amp; Öz Bakım İhmali)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Temel öz bakımın (banyo, diş, kıyafet) tamamen terk edilmesi, çöp ve bulaşık birikimi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Şiddetli Kendini İhmal (Self-Neglect) / Sosyal Çöküş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• Sosyal hizmet birimleri ve aile iş birliği ile güvenli yaşam ortamı tesis edilmelidir.</w:t>
              <w:br/>
              <w:t>• Ayaktan takibin aksaması ihtimaline karşın yakın gözlem veya gerekirse kısa süreli yatış ile temel yaşam aktiviteleri yapılandırılmalıdır.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82828"/>
                <w:sz w:val="17"/>
              </w:rPr>
              <w:t>Vaka 29</w:t>
              <w:br/>
              <w:t>(Ergenlerde Değersizlik ve Patlayıcı Öfke)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Masaları devirme, kitapları fırlatma şeklinde şiddetli patlayıcı öfke krizleri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Kendine veya Çevreye Zarar Verme (Hetero-agresyon)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82828"/>
                <w:sz w:val="17"/>
              </w:rPr>
              <w:t>• Ev ortamındaki tehlikeli nesneler uzaklaştırılmalıdır.</w:t>
              <w:br/>
              <w:t>• Çocuk ve Ergen Ruh Sağlığı uzmanı tarafından acil değerlendirme yapılmalı; dürtü kontrolü için kriz müdahalesi ve bilişsel davranışçı terapi (BDT) başlatılmalıdır.</w:t>
            </w:r>
          </w:p>
        </w:tc>
      </w:tr>
    </w:tbl>
    <w:p>
      <w:pPr>
        <w:pStyle w:val="Heading1"/>
        <w:spacing w:before="320" w:after="120"/>
      </w:pPr>
      <w:r>
        <w:rPr>
          <w:rFonts w:ascii="Arial" w:hAnsi="Arial"/>
          <w:b/>
          <w:color w:val="1B365D"/>
          <w:sz w:val="28"/>
        </w:rPr>
        <w:t>3. Kırmızı Bayrak Yönetiminde Genel Klinik Protokol Adımları</w:t>
      </w:r>
    </w:p>
    <w:p>
      <w:pPr>
        <w:spacing w:after="80" w:line="276" w:lineRule="auto"/>
      </w:pPr>
      <w:r>
        <w:rPr>
          <w:rFonts w:ascii="Arial" w:hAnsi="Arial"/>
          <w:b/>
          <w:color w:val="1B365D"/>
          <w:sz w:val="20"/>
        </w:rPr>
        <w:t xml:space="preserve">1. Güvenliği Sağlama ve Kısıtlama: </w:t>
      </w:r>
      <w:r>
        <w:rPr>
          <w:rFonts w:ascii="Arial" w:hAnsi="Arial"/>
          <w:color w:val="282828"/>
          <w:sz w:val="20"/>
        </w:rPr>
        <w:t>Aktif intihar ya da saldırganlık riski taşıyan hastalar asla yalnız bırakılmamalı; ateşli silah, kesici/delici alet ve toksik ajanlara erişim derhal engellenmelidir.</w:t>
      </w:r>
    </w:p>
    <w:p>
      <w:pPr>
        <w:spacing w:after="80" w:line="276" w:lineRule="auto"/>
      </w:pPr>
      <w:r>
        <w:rPr>
          <w:rFonts w:ascii="Arial" w:hAnsi="Arial"/>
          <w:b/>
          <w:color w:val="1B365D"/>
          <w:sz w:val="20"/>
        </w:rPr>
        <w:t xml:space="preserve">2. Medikal ve Organik Ayrıcı Tanı: </w:t>
      </w:r>
      <w:r>
        <w:rPr>
          <w:rFonts w:ascii="Arial" w:hAnsi="Arial"/>
          <w:color w:val="282828"/>
          <w:sz w:val="20"/>
        </w:rPr>
        <w:t>İlaç kaynaklı veya organik etiyoloji (inme, kanser, tiroid yetmezliği vb.) şüphesinde primer hekimle (onkoloji, nöroloji, endokrinoloji) ortak konsültasyon yürütülmelidir.</w:t>
      </w:r>
    </w:p>
    <w:p>
      <w:pPr>
        <w:spacing w:after="80" w:line="276" w:lineRule="auto"/>
      </w:pPr>
      <w:r>
        <w:rPr>
          <w:rFonts w:ascii="Arial" w:hAnsi="Arial"/>
          <w:b/>
          <w:color w:val="1B365D"/>
          <w:sz w:val="20"/>
        </w:rPr>
        <w:t xml:space="preserve">3. Yatış Endikasyonunu Belirleme: </w:t>
      </w:r>
      <w:r>
        <w:rPr>
          <w:rFonts w:ascii="Arial" w:hAnsi="Arial"/>
          <w:color w:val="282828"/>
          <w:sz w:val="20"/>
        </w:rPr>
        <w:t>Psikotik belirtiler, ağır beslenme/sıvı reddi veya yüksek letaliteli intihar niyetinde gönüllü ya da yasal şartlara bağlı istemsiz yatış süreci gecikmeksizin başlatılmalıdır.</w:t>
      </w:r>
    </w:p>
    <w:p>
      <w:pPr>
        <w:spacing w:after="80" w:line="276" w:lineRule="auto"/>
      </w:pPr>
      <w:r>
        <w:rPr>
          <w:rFonts w:ascii="Arial" w:hAnsi="Arial"/>
          <w:b/>
          <w:color w:val="1B365D"/>
          <w:sz w:val="20"/>
        </w:rPr>
        <w:t xml:space="preserve">4. Hızlı Biyolojik Tedaviler: </w:t>
      </w:r>
      <w:r>
        <w:rPr>
          <w:rFonts w:ascii="Arial" w:hAnsi="Arial"/>
          <w:color w:val="282828"/>
          <w:sz w:val="20"/>
        </w:rPr>
        <w:t>Psikotik özellikli ya da beslenmeyi reddeden ağır katatonik/depresif vakalarda farmakoterapiye ek olarak EKT (Elektrokonvülsif Terapi) birinci basamak acil seçenek olarak değerlendirilmelidir.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