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1F4E79"/>
          <w:sz w:val="80"/>
          <w:szCs w:val="80"/>
        </w:rPr>
        <w:t xml:space="preserve">DMCN</w:t>
      </w:r>
    </w:p>
    <w:p>
      <w:pPr>
        <w:spacing w:before="0" w:after="240"/>
        <w:jc w:val="center"/>
      </w:pPr>
      <w:r>
        <w:rPr>
          <w:rFonts w:ascii="Arial" w:cs="Arial" w:eastAsia="Arial" w:hAnsi="Arial"/>
          <w:color w:val="2E75B6"/>
          <w:sz w:val="36"/>
          <w:szCs w:val="36"/>
        </w:rPr>
        <w:t xml:space="preserve">Decentralized Mesh Communication Network</w:t>
      </w:r>
    </w:p>
    <w:p>
      <w:pPr>
        <w:pBdr>
          <w:bottom w:val="single" w:color="2E75B6" w:sz="6" w:space="1"/>
        </w:pBdr>
        <w:spacing w:before="0" w:after="240"/>
      </w:pPr>
      <w:r>
        <w:t xml:space="preserve"/>
      </w:r>
    </w:p>
    <w:p>
      <w:pPr>
        <w:spacing w:before="0" w:after="480"/>
        <w:jc w:val="center"/>
      </w:pPr>
      <w:r>
        <w:rPr>
          <w:rFonts w:ascii="Arial" w:cs="Arial" w:eastAsia="Arial" w:hAnsi="Arial"/>
          <w:b/>
          <w:bCs/>
          <w:color w:val="404040"/>
          <w:sz w:val="28"/>
          <w:szCs w:val="28"/>
        </w:rPr>
        <w:t xml:space="preserve">Proof of Concept — 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Draft — For Development Use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Merten van Gerven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Language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Go (golang)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Whitepaper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DMCN Whitepaper v0.2</w:t>
            </w:r>
          </w:p>
        </w:tc>
      </w:tr>
    </w:tbl>
    <w:p>
      <w:pPr>
        <w:spacing w:before="480" w:after="0"/>
      </w:pPr>
      <w:r>
        <w:t xml:space="preserve"/>
      </w:r>
    </w:p>
    <w:p>
      <w:pPr>
        <w:jc w:val="center"/>
      </w:pPr>
      <w:r>
        <w:rPr>
          <w:rFonts w:ascii="Arial" w:cs="Arial" w:eastAsia="Arial" w:hAnsi="Arial"/>
          <w:b/>
          <w:bCs/>
          <w:color w:val="666666"/>
          <w:spacing w:val="200"/>
          <w:sz w:val="20"/>
          <w:szCs w:val="20"/>
        </w:rPr>
        <w:t xml:space="preserve">CONFIDENTIAL</w:t>
      </w:r>
    </w:p>
    <w:p>
      <w:r>
        <w:br w:type="page"/>
      </w:r>
    </w:p>
    <w:p>
      <w:pPr>
        <w:pStyle w:val="Heading1"/>
        <w:pBdr>
          <w:bottom w:val="single" w:color="2E75B6" w:sz="6" w:space="4"/>
        </w:pBdr>
        <w:spacing w:before="480" w:after="160"/>
      </w:pPr>
      <w:r>
        <w:rPr>
          <w:rFonts w:ascii="Arial" w:cs="Arial" w:eastAsia="Arial" w:hAnsi="Arial"/>
          <w:b/>
          <w:bCs/>
          <w:color w:val="1F4E79"/>
          <w:sz w:val="32"/>
          <w:szCs w:val="32"/>
        </w:rPr>
        <w:t xml:space="preserve">1. Purpose and Scope</w:t>
      </w:r>
    </w:p>
    <w:p>
      <w:pPr>
        <w:spacing w:before="60" w:after="80"/>
        <w:jc w:val="left"/>
      </w:pPr>
      <w:r>
        <w:rPr>
          <w:rFonts w:ascii="Arial" w:cs="Arial" w:eastAsia="Arial" w:hAnsi="Arial"/>
          <w:color w:val="404040"/>
          <w:sz w:val="22"/>
          <w:szCs w:val="22"/>
        </w:rPr>
        <w:t xml:space="preserve">This document defines the requirements for the initial proof-of-concept (PoC) implementation of the Decentralized Mesh Communication Network (DMCN). It is intended as a direct input to Claude Code and serves as the authoritative specification for what must be built, in what order, and to what standard, during the bootstrapping phase of the project.</w:t>
      </w:r>
    </w:p>
    <w:p>
      <w:pPr>
        <w:spacing w:before="80" w:after="0"/>
      </w:pPr>
      <w:r>
        <w:t xml:space="preserve"/>
      </w:r>
    </w:p>
    <w:p>
      <w:pPr>
        <w:spacing w:before="60" w:after="80"/>
        <w:jc w:val="left"/>
      </w:pPr>
      <w:r>
        <w:rPr>
          <w:rFonts w:ascii="Arial" w:cs="Arial" w:eastAsia="Arial" w:hAnsi="Arial"/>
          <w:color w:val="404040"/>
          <w:sz w:val="22"/>
          <w:szCs w:val="22"/>
        </w:rPr>
        <w:t xml:space="preserve">The PoC has two sequential goals:</w:t>
      </w:r>
    </w:p>
    <w:p>
      <w:pPr>
        <w:pStyle w:val="ListParagraph"/>
        <w:numPr>
          <w:ilvl w:val="0"/>
          <w:numId w:val="2"/>
        </w:numPr>
        <w:spacing w:before="40" w:after="40"/>
      </w:pPr>
      <w:r>
        <w:rPr>
          <w:rFonts w:ascii="Arial" w:cs="Arial" w:eastAsia="Arial" w:hAnsi="Arial"/>
          <w:color w:val="404040"/>
          <w:sz w:val="22"/>
          <w:szCs w:val="22"/>
        </w:rPr>
        <w:t xml:space="preserve">Validate the core cryptographic and protocol design by implementing the identity and message format layers in isolation, before any networking is introduced.</w:t>
      </w:r>
    </w:p>
    <w:p>
      <w:pPr>
        <w:pStyle w:val="ListParagraph"/>
        <w:numPr>
          <w:ilvl w:val="0"/>
          <w:numId w:val="2"/>
        </w:numPr>
        <w:spacing w:before="40" w:after="40"/>
      </w:pPr>
      <w:r>
        <w:rPr>
          <w:rFonts w:ascii="Arial" w:cs="Arial" w:eastAsia="Arial" w:hAnsi="Arial"/>
          <w:color w:val="404040"/>
          <w:sz w:val="22"/>
          <w:szCs w:val="22"/>
        </w:rPr>
        <w:t xml:space="preserve">Demonstrate end-to-end message delivery between two nodes, including identity registration, lookup, message signing, encryption, routing, and decryption — sufficient to support technical review and stakeholder demonstration.</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Out of scope for PoC:  </w:t>
      </w:r>
      <w:r>
        <w:rPr>
          <w:rFonts w:ascii="Arial" w:cs="Arial" w:eastAsia="Arial" w:hAnsi="Arial"/>
          <w:i/>
          <w:iCs/>
          <w:color w:val="404040"/>
          <w:sz w:val="20"/>
          <w:szCs w:val="20"/>
        </w:rPr>
        <w:t xml:space="preserve">Onion routing, shared reputation feeds, social key recovery, the full trust management stack, mobile clients, and production hardening. These are addressed in subsequent milestones.</w:t>
      </w:r>
    </w:p>
    <w:p>
      <w:pPr>
        <w:pStyle w:val="Heading1"/>
        <w:pBdr>
          <w:bottom w:val="single" w:color="2E75B6" w:sz="6" w:space="4"/>
        </w:pBdr>
        <w:spacing w:before="480" w:after="160"/>
      </w:pPr>
      <w:r>
        <w:rPr>
          <w:rFonts w:ascii="Arial" w:cs="Arial" w:eastAsia="Arial" w:hAnsi="Arial"/>
          <w:b/>
          <w:bCs/>
          <w:color w:val="1F4E79"/>
          <w:sz w:val="32"/>
          <w:szCs w:val="32"/>
        </w:rPr>
        <w:t xml:space="preserve">2. Background</w:t>
      </w:r>
    </w:p>
    <w:p>
      <w:pPr>
        <w:spacing w:before="60" w:after="80"/>
        <w:jc w:val="left"/>
      </w:pPr>
      <w:r>
        <w:rPr>
          <w:rFonts w:ascii="Arial" w:cs="Arial" w:eastAsia="Arial" w:hAnsi="Arial"/>
          <w:color w:val="404040"/>
          <w:sz w:val="22"/>
          <w:szCs w:val="22"/>
        </w:rPr>
        <w:t xml:space="preserve">DMCN is a next-generation messaging protocol designed to replace SMTP by enforcing cryptographic sender identity at the protocol level. Spam and email fraud are treated as identity problems, not filtering problems. Every participant holds a public/private key pair; every message must carry a valid cryptographic signature from a registered identity; relay nodes reject unsigned messages at the network boundary.</w:t>
      </w:r>
    </w:p>
    <w:p>
      <w:pPr>
        <w:spacing w:before="80" w:after="0"/>
      </w:pPr>
      <w:r>
        <w:t xml:space="preserve"/>
      </w:r>
    </w:p>
    <w:p>
      <w:pPr>
        <w:spacing w:before="60" w:after="80"/>
        <w:jc w:val="left"/>
      </w:pPr>
      <w:r>
        <w:rPr>
          <w:rFonts w:ascii="Arial" w:cs="Arial" w:eastAsia="Arial" w:hAnsi="Arial"/>
          <w:color w:val="404040"/>
          <w:sz w:val="22"/>
          <w:szCs w:val="22"/>
        </w:rPr>
        <w:t xml:space="preserve">The full protocol design is specified in the DMCN Whitepaper v0.2. This PRD covers only the PoC scope. All section references below (e.g. Section 15.2) refer to the whitepaper.</w:t>
      </w:r>
    </w:p>
    <w:p>
      <w:pPr>
        <w:spacing w:before="80" w:after="0"/>
      </w:pPr>
      <w:r>
        <w:t xml:space="preserve"/>
      </w:r>
    </w:p>
    <w:p>
      <w:pPr>
        <w:spacing w:before="60" w:after="80"/>
        <w:jc w:val="left"/>
      </w:pPr>
      <w:r>
        <w:rPr>
          <w:rFonts w:ascii="Arial" w:cs="Arial" w:eastAsia="Arial" w:hAnsi="Arial"/>
          <w:color w:val="404040"/>
          <w:sz w:val="22"/>
          <w:szCs w:val="22"/>
        </w:rPr>
        <w:t xml:space="preserve">The implementation language is Go. This choice is appropriate for all server-side services given Go's concurrency model, mature cryptographic standard library, strong Protocol Buffers support, and suitability for I/O-bound distributed systems work.</w:t>
      </w:r>
    </w:p>
    <w:p>
      <w:pPr>
        <w:pStyle w:val="Heading1"/>
        <w:pBdr>
          <w:bottom w:val="single" w:color="2E75B6" w:sz="6" w:space="4"/>
        </w:pBdr>
        <w:spacing w:before="480" w:after="160"/>
      </w:pPr>
      <w:r>
        <w:rPr>
          <w:rFonts w:ascii="Arial" w:cs="Arial" w:eastAsia="Arial" w:hAnsi="Arial"/>
          <w:b/>
          <w:bCs/>
          <w:color w:val="1F4E79"/>
          <w:sz w:val="32"/>
          <w:szCs w:val="32"/>
        </w:rPr>
        <w:t xml:space="preserve">3. Repository Structure</w:t>
      </w:r>
    </w:p>
    <w:p>
      <w:pPr>
        <w:spacing w:before="60" w:after="80"/>
        <w:jc w:val="left"/>
      </w:pPr>
      <w:r>
        <w:rPr>
          <w:rFonts w:ascii="Arial" w:cs="Arial" w:eastAsia="Arial" w:hAnsi="Arial"/>
          <w:color w:val="404040"/>
          <w:sz w:val="22"/>
          <w:szCs w:val="22"/>
        </w:rPr>
        <w:t xml:space="preserve">The repository should be structured as a Go module with clearly separated packages from the outset. Future services import from the core package; the core package has no dependency on any service.</w:t>
      </w:r>
    </w:p>
    <w:p>
      <w:pPr>
        <w:spacing w:before="8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dmcn/</w:t>
      </w:r>
    </w:p>
    <w:p>
      <w:pPr>
        <w:shd w:fill="F2F2F2" w:val="clear"/>
        <w:spacing w:before="40" w:after="40"/>
        <w:ind w:left="360"/>
      </w:pPr>
      <w:r>
        <w:rPr>
          <w:rFonts w:ascii="Courier New" w:cs="Courier New" w:eastAsia="Courier New" w:hAnsi="Courier New"/>
          <w:color w:val="404040"/>
          <w:sz w:val="18"/>
          <w:szCs w:val="18"/>
        </w:rPr>
        <w:t xml:space="preserve">  cmd/</w:t>
      </w:r>
    </w:p>
    <w:p>
      <w:pPr>
        <w:shd w:fill="F2F2F2" w:val="clear"/>
        <w:spacing w:before="40" w:after="40"/>
        <w:ind w:left="360"/>
      </w:pPr>
      <w:r>
        <w:rPr>
          <w:rFonts w:ascii="Courier New" w:cs="Courier New" w:eastAsia="Courier New" w:hAnsi="Courier New"/>
          <w:color w:val="404040"/>
          <w:sz w:val="18"/>
          <w:szCs w:val="18"/>
        </w:rPr>
        <w:t xml:space="preserve">    dmcn-node/        # combined dev node binary (Milestone 2)</w:t>
      </w:r>
    </w:p>
    <w:p>
      <w:pPr>
        <w:shd w:fill="F2F2F2" w:val="clear"/>
        <w:spacing w:before="40" w:after="40"/>
        <w:ind w:left="360"/>
      </w:pPr>
      <w:r>
        <w:rPr>
          <w:rFonts w:ascii="Courier New" w:cs="Courier New" w:eastAsia="Courier New" w:hAnsi="Courier New"/>
          <w:color w:val="404040"/>
          <w:sz w:val="18"/>
          <w:szCs w:val="18"/>
        </w:rPr>
        <w:t xml:space="preserve">    dmcn-bridge/      # bridge node binary (Milestone 3)</w:t>
      </w:r>
    </w:p>
    <w:p>
      <w:pPr>
        <w:shd w:fill="F2F2F2" w:val="clear"/>
        <w:spacing w:before="40" w:after="40"/>
        <w:ind w:left="360"/>
      </w:pPr>
      <w:r>
        <w:rPr>
          <w:rFonts w:ascii="Courier New" w:cs="Courier New" w:eastAsia="Courier New" w:hAnsi="Courier New"/>
          <w:color w:val="404040"/>
          <w:sz w:val="18"/>
          <w:szCs w:val="18"/>
        </w:rPr>
        <w:t xml:space="preserve">  internal/</w:t>
      </w:r>
    </w:p>
    <w:p>
      <w:pPr>
        <w:shd w:fill="F2F2F2" w:val="clear"/>
        <w:spacing w:before="40" w:after="40"/>
        <w:ind w:left="360"/>
      </w:pPr>
      <w:r>
        <w:rPr>
          <w:rFonts w:ascii="Courier New" w:cs="Courier New" w:eastAsia="Courier New" w:hAnsi="Courier New"/>
          <w:color w:val="404040"/>
          <w:sz w:val="18"/>
          <w:szCs w:val="18"/>
        </w:rPr>
        <w:t xml:space="preserve">    core/             # cryptographic primitives and data structures</w:t>
      </w:r>
    </w:p>
    <w:p>
      <w:pPr>
        <w:shd w:fill="F2F2F2" w:val="clear"/>
        <w:spacing w:before="40" w:after="40"/>
        <w:ind w:left="360"/>
      </w:pPr>
      <w:r>
        <w:rPr>
          <w:rFonts w:ascii="Courier New" w:cs="Courier New" w:eastAsia="Courier New" w:hAnsi="Courier New"/>
          <w:color w:val="404040"/>
          <w:sz w:val="18"/>
          <w:szCs w:val="18"/>
        </w:rPr>
        <w:t xml:space="preserve">      identity/       # key generation, identity records, registry ops</w:t>
      </w:r>
    </w:p>
    <w:p>
      <w:pPr>
        <w:shd w:fill="F2F2F2" w:val="clear"/>
        <w:spacing w:before="40" w:after="40"/>
        <w:ind w:left="360"/>
      </w:pPr>
      <w:r>
        <w:rPr>
          <w:rFonts w:ascii="Courier New" w:cs="Courier New" w:eastAsia="Courier New" w:hAnsi="Courier New"/>
          <w:color w:val="404040"/>
          <w:sz w:val="18"/>
          <w:szCs w:val="18"/>
        </w:rPr>
        <w:t xml:space="preserve">      message/        # plaintext, signed, encrypted envelope types</w:t>
      </w:r>
    </w:p>
    <w:p>
      <w:pPr>
        <w:shd w:fill="F2F2F2" w:val="clear"/>
        <w:spacing w:before="40" w:after="40"/>
        <w:ind w:left="360"/>
      </w:pPr>
      <w:r>
        <w:rPr>
          <w:rFonts w:ascii="Courier New" w:cs="Courier New" w:eastAsia="Courier New" w:hAnsi="Courier New"/>
          <w:color w:val="404040"/>
          <w:sz w:val="18"/>
          <w:szCs w:val="18"/>
        </w:rPr>
        <w:t xml:space="preserve">      crypto/         # low-level crypto wrappers (Ed25519, X25519, AES-GCM, HKDF)</w:t>
      </w:r>
    </w:p>
    <w:p>
      <w:pPr>
        <w:shd w:fill="F2F2F2" w:val="clear"/>
        <w:spacing w:before="40" w:after="40"/>
        <w:ind w:left="360"/>
      </w:pPr>
      <w:r>
        <w:rPr>
          <w:rFonts w:ascii="Courier New" w:cs="Courier New" w:eastAsia="Courier New" w:hAnsi="Courier New"/>
          <w:color w:val="404040"/>
          <w:sz w:val="18"/>
          <w:szCs w:val="18"/>
        </w:rPr>
        <w:t xml:space="preserve">    registry/         # DHT node and lookup client</w:t>
      </w:r>
    </w:p>
    <w:p>
      <w:pPr>
        <w:shd w:fill="F2F2F2" w:val="clear"/>
        <w:spacing w:before="40" w:after="40"/>
        <w:ind w:left="360"/>
      </w:pPr>
      <w:r>
        <w:rPr>
          <w:rFonts w:ascii="Courier New" w:cs="Courier New" w:eastAsia="Courier New" w:hAnsi="Courier New"/>
          <w:color w:val="404040"/>
          <w:sz w:val="18"/>
          <w:szCs w:val="18"/>
        </w:rPr>
        <w:t xml:space="preserve">    relay/            # relay node message handling</w:t>
      </w:r>
    </w:p>
    <w:p>
      <w:pPr>
        <w:shd w:fill="F2F2F2" w:val="clear"/>
        <w:spacing w:before="40" w:after="40"/>
        <w:ind w:left="360"/>
      </w:pPr>
      <w:r>
        <w:rPr>
          <w:rFonts w:ascii="Courier New" w:cs="Courier New" w:eastAsia="Courier New" w:hAnsi="Courier New"/>
          <w:color w:val="404040"/>
          <w:sz w:val="18"/>
          <w:szCs w:val="18"/>
        </w:rPr>
        <w:t xml:space="preserve">    bridge/           # SMTP-DMCN bridge protocol</w:t>
      </w:r>
    </w:p>
    <w:p>
      <w:pPr>
        <w:shd w:fill="F2F2F2" w:val="clear"/>
        <w:spacing w:before="40" w:after="40"/>
        <w:ind w:left="360"/>
      </w:pPr>
      <w:r>
        <w:rPr>
          <w:rFonts w:ascii="Courier New" w:cs="Courier New" w:eastAsia="Courier New" w:hAnsi="Courier New"/>
          <w:color w:val="404040"/>
          <w:sz w:val="18"/>
          <w:szCs w:val="18"/>
        </w:rPr>
        <w:t xml:space="preserve">  proto/              # Protocol Buffer definitions (.proto files)</w:t>
      </w:r>
    </w:p>
    <w:p>
      <w:pPr>
        <w:shd w:fill="F2F2F2" w:val="clear"/>
        <w:spacing w:before="40" w:after="40"/>
        <w:ind w:left="360"/>
      </w:pPr>
      <w:r>
        <w:rPr>
          <w:rFonts w:ascii="Courier New" w:cs="Courier New" w:eastAsia="Courier New" w:hAnsi="Courier New"/>
          <w:color w:val="404040"/>
          <w:sz w:val="18"/>
          <w:szCs w:val="18"/>
        </w:rPr>
        <w:t xml:space="preserve">  docs/               # architecture notes, protocol decisions</w:t>
      </w:r>
    </w:p>
    <w:p>
      <w:pPr>
        <w:shd w:fill="F2F2F2" w:val="clear"/>
        <w:spacing w:before="40" w:after="40"/>
        <w:ind w:left="360"/>
      </w:pPr>
      <w:r>
        <w:rPr>
          <w:rFonts w:ascii="Courier New" w:cs="Courier New" w:eastAsia="Courier New" w:hAnsi="Courier New"/>
          <w:color w:val="404040"/>
          <w:sz w:val="18"/>
          <w:szCs w:val="18"/>
        </w:rPr>
        <w:t xml:space="preserve">  go.mod</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Convention:  </w:t>
      </w:r>
      <w:r>
        <w:rPr>
          <w:rFonts w:ascii="Arial" w:cs="Arial" w:eastAsia="Arial" w:hAnsi="Arial"/>
          <w:i/>
          <w:iCs/>
          <w:color w:val="404040"/>
          <w:sz w:val="20"/>
          <w:szCs w:val="20"/>
        </w:rPr>
        <w:t xml:space="preserve">All packages under internal/ are unexported. Public API surface is minimal and intentional. Test files live alongside their packages.</w:t>
      </w:r>
    </w:p>
    <w:p>
      <w:pPr>
        <w:pStyle w:val="Heading1"/>
        <w:pBdr>
          <w:bottom w:val="single" w:color="2E75B6" w:sz="6" w:space="4"/>
        </w:pBdr>
        <w:spacing w:before="480" w:after="160"/>
      </w:pPr>
      <w:r>
        <w:rPr>
          <w:rFonts w:ascii="Arial" w:cs="Arial" w:eastAsia="Arial" w:hAnsi="Arial"/>
          <w:b/>
          <w:bCs/>
          <w:color w:val="1F4E79"/>
          <w:sz w:val="32"/>
          <w:szCs w:val="32"/>
        </w:rPr>
        <w:t xml:space="preserve">4. Milestone 1 — Cryptographic Core</w:t>
      </w:r>
    </w:p>
    <w:p>
      <w:pPr>
        <w:spacing w:before="60" w:after="80"/>
        <w:jc w:val="left"/>
      </w:pPr>
      <w:r>
        <w:rPr>
          <w:rFonts w:ascii="Arial" w:cs="Arial" w:eastAsia="Arial" w:hAnsi="Arial"/>
          <w:color w:val="404040"/>
          <w:sz w:val="22"/>
          <w:szCs w:val="22"/>
        </w:rPr>
        <w:t xml:space="preserve">The cryptographic core is the foundation of every other component. It must be correct, well-tested, and reviewed before anything is built on top of it. This milestone produces no binary — it is a Go package with comprehensive test coverage.</w:t>
      </w:r>
    </w:p>
    <w:p>
      <w:pPr>
        <w:pStyle w:val="Heading2"/>
        <w:spacing w:before="320" w:after="120"/>
      </w:pPr>
      <w:r>
        <w:rPr>
          <w:rFonts w:ascii="Arial" w:cs="Arial" w:eastAsia="Arial" w:hAnsi="Arial"/>
          <w:b/>
          <w:bCs/>
          <w:color w:val="2E75B6"/>
          <w:sz w:val="26"/>
          <w:szCs w:val="26"/>
        </w:rPr>
        <w:t xml:space="preserve">4.1 Cryptographic Primitives (internal/core/crypto)</w:t>
      </w:r>
    </w:p>
    <w:p>
      <w:pPr>
        <w:spacing w:before="60" w:after="80"/>
        <w:jc w:val="left"/>
      </w:pPr>
      <w:r>
        <w:rPr>
          <w:rFonts w:ascii="Arial" w:cs="Arial" w:eastAsia="Arial" w:hAnsi="Arial"/>
          <w:color w:val="404040"/>
          <w:sz w:val="22"/>
          <w:szCs w:val="22"/>
        </w:rPr>
        <w:t xml:space="preserve">Implement thin, well-documented wrappers around Go standard library and golang.org/x/crypto primitives. Do not implement any cryptographic algorithm from scratch.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Ed25519 key generation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crypto/ed25519 — standard library</w:t>
            </w:r>
          </w:p>
        </w:tc>
      </w:tr>
      <w:tr>
        <w:tc>
          <w:tcPr>
            <w:tcW w:type="dxa" w:w="3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Ed25519 sign</w:t>
            </w:r>
          </w:p>
        </w:tc>
        <w:tc>
          <w:tcPr>
            <w:tcW w:type="dxa" w:w="5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ed25519.Sign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Ed25519 verify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ed25519.Verify</w:t>
            </w:r>
          </w:p>
        </w:tc>
      </w:tr>
      <w:tr>
        <w:tc>
          <w:tcPr>
            <w:tcW w:type="dxa" w:w="3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X25519 key generation</w:t>
            </w:r>
          </w:p>
        </w:tc>
        <w:tc>
          <w:tcPr>
            <w:tcW w:type="dxa" w:w="5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golang.org/x/crypto/curve25519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X25519 key exchange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curve25519.X25519</w:t>
            </w:r>
          </w:p>
        </w:tc>
      </w:tr>
      <w:tr>
        <w:tc>
          <w:tcPr>
            <w:tcW w:type="dxa" w:w="3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HKDF-SHA256</w:t>
            </w:r>
          </w:p>
        </w:tc>
        <w:tc>
          <w:tcPr>
            <w:tcW w:type="dxa" w:w="5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golang.org/x/crypto/hkdf + crypto/sha256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AES-256-GCM encrypt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crypto/aes + crypto/cipher (GCM mode)</w:t>
            </w:r>
          </w:p>
        </w:tc>
      </w:tr>
      <w:tr>
        <w:tc>
          <w:tcPr>
            <w:tcW w:type="dxa" w:w="3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AES-256-GCM decrypt</w:t>
            </w:r>
          </w:p>
        </w:tc>
        <w:tc>
          <w:tcPr>
            <w:tcW w:type="dxa" w:w="5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crypto/aes + crypto/cipher (GCM mode)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SHA-256 hash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crypto/sha256 — standard library</w:t>
            </w:r>
          </w:p>
        </w:tc>
      </w:tr>
      <w:tr>
        <w:tc>
          <w:tcPr>
            <w:tcW w:type="dxa" w:w="3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Secure random bytes</w:t>
            </w:r>
          </w:p>
        </w:tc>
        <w:tc>
          <w:tcPr>
            <w:tcW w:type="dxa" w:w="5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crypto/rand.Read</w:t>
            </w:r>
          </w:p>
        </w:tc>
      </w:tr>
    </w:tbl>
    <w:p>
      <w:pPr>
        <w:spacing w:before="120" w:after="0"/>
      </w:pPr>
      <w:r>
        <w:t xml:space="preserve"/>
      </w:r>
    </w:p>
    <w:p>
      <w:pPr>
        <w:spacing w:before="60" w:after="80"/>
        <w:jc w:val="left"/>
      </w:pPr>
      <w:r>
        <w:rPr>
          <w:rFonts w:ascii="Arial" w:cs="Arial" w:eastAsia="Arial" w:hAnsi="Arial"/>
          <w:color w:val="404040"/>
          <w:sz w:val="22"/>
          <w:szCs w:val="22"/>
        </w:rPr>
        <w:t xml:space="preserve">Each wrapper function must carry a doc comment that cites the relevant whitepaper section and states the exact input/output contract. All wrappers return explicit errors; no panics on invalid input.</w:t>
      </w:r>
    </w:p>
    <w:p>
      <w:pPr>
        <w:pStyle w:val="Heading2"/>
        <w:spacing w:before="320" w:after="120"/>
      </w:pPr>
      <w:r>
        <w:rPr>
          <w:rFonts w:ascii="Arial" w:cs="Arial" w:eastAsia="Arial" w:hAnsi="Arial"/>
          <w:b/>
          <w:bCs/>
          <w:color w:val="2E75B6"/>
          <w:sz w:val="26"/>
          <w:szCs w:val="26"/>
        </w:rPr>
        <w:t xml:space="preserve">4.2 Identity Layer (internal/core/identity)</w:t>
      </w:r>
    </w:p>
    <w:p>
      <w:pPr>
        <w:spacing w:before="60" w:after="80"/>
        <w:jc w:val="left"/>
      </w:pPr>
      <w:r>
        <w:rPr>
          <w:rFonts w:ascii="Arial" w:cs="Arial" w:eastAsia="Arial" w:hAnsi="Arial"/>
          <w:color w:val="404040"/>
          <w:sz w:val="22"/>
          <w:szCs w:val="22"/>
        </w:rPr>
        <w:t xml:space="preserve">Implement the data structures and operations defined in whitepaper Section 15.2.</w:t>
      </w:r>
    </w:p>
    <w:p>
      <w:pPr>
        <w:spacing w:before="80" w:after="0"/>
      </w:pPr>
      <w:r>
        <w:t xml:space="preserve"/>
      </w:r>
    </w:p>
    <w:p>
      <w:pPr>
        <w:pStyle w:val="Heading3"/>
        <w:spacing w:before="240" w:after="80"/>
      </w:pPr>
      <w:r>
        <w:rPr>
          <w:rFonts w:ascii="Arial" w:cs="Arial" w:eastAsia="Arial" w:hAnsi="Arial"/>
          <w:b/>
          <w:bCs/>
          <w:color w:val="404040"/>
          <w:sz w:val="22"/>
          <w:szCs w:val="22"/>
        </w:rPr>
        <w:t xml:space="preserve">4.2.1 Key Pair</w:t>
      </w:r>
    </w:p>
    <w:p>
      <w:pPr>
        <w:spacing w:before="60" w:after="80"/>
        <w:jc w:val="left"/>
      </w:pPr>
      <w:r>
        <w:rPr>
          <w:rFonts w:ascii="Arial" w:cs="Arial" w:eastAsia="Arial" w:hAnsi="Arial"/>
          <w:color w:val="404040"/>
          <w:sz w:val="22"/>
          <w:szCs w:val="22"/>
        </w:rPr>
        <w:t xml:space="preserve">The IdentityKeyPair struct holds both the Ed25519 signing pair and the X25519 key exchange pair for a single identity, generated together at account creation.</w:t>
      </w:r>
    </w:p>
    <w:p>
      <w:pPr>
        <w:spacing w:before="6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IdentityKeyPair struct {</w:t>
      </w:r>
    </w:p>
    <w:p>
      <w:pPr>
        <w:shd w:fill="F2F2F2" w:val="clear"/>
        <w:spacing w:before="40" w:after="40"/>
        <w:ind w:left="360"/>
      </w:pPr>
      <w:r>
        <w:rPr>
          <w:rFonts w:ascii="Courier New" w:cs="Courier New" w:eastAsia="Courier New" w:hAnsi="Courier New"/>
          <w:color w:val="404040"/>
          <w:sz w:val="18"/>
          <w:szCs w:val="18"/>
        </w:rPr>
        <w:t xml:space="preserve">    Ed25519Public   ed25519.PublicKey    // 32 bytes — signing</w:t>
      </w:r>
    </w:p>
    <w:p>
      <w:pPr>
        <w:shd w:fill="F2F2F2" w:val="clear"/>
        <w:spacing w:before="40" w:after="40"/>
        <w:ind w:left="360"/>
      </w:pPr>
      <w:r>
        <w:rPr>
          <w:rFonts w:ascii="Courier New" w:cs="Courier New" w:eastAsia="Courier New" w:hAnsi="Courier New"/>
          <w:color w:val="404040"/>
          <w:sz w:val="18"/>
          <w:szCs w:val="18"/>
        </w:rPr>
        <w:t xml:space="preserve">    Ed25519Private  ed25519.PrivateKey   // 64 bytes — signing</w:t>
      </w:r>
    </w:p>
    <w:p>
      <w:pPr>
        <w:shd w:fill="F2F2F2" w:val="clear"/>
        <w:spacing w:before="40" w:after="40"/>
        <w:ind w:left="360"/>
      </w:pPr>
      <w:r>
        <w:rPr>
          <w:rFonts w:ascii="Courier New" w:cs="Courier New" w:eastAsia="Courier New" w:hAnsi="Courier New"/>
          <w:color w:val="404040"/>
          <w:sz w:val="18"/>
          <w:szCs w:val="18"/>
        </w:rPr>
        <w:t xml:space="preserve">    X25519Public    [32]byte             // 32 bytes — key exchange</w:t>
      </w:r>
    </w:p>
    <w:p>
      <w:pPr>
        <w:shd w:fill="F2F2F2" w:val="clear"/>
        <w:spacing w:before="40" w:after="40"/>
        <w:ind w:left="360"/>
      </w:pPr>
      <w:r>
        <w:rPr>
          <w:rFonts w:ascii="Courier New" w:cs="Courier New" w:eastAsia="Courier New" w:hAnsi="Courier New"/>
          <w:color w:val="404040"/>
          <w:sz w:val="18"/>
          <w:szCs w:val="18"/>
        </w:rPr>
        <w:t xml:space="preserve">    X25519Private   [32]byte             // 32 bytes — key exchange</w:t>
      </w:r>
    </w:p>
    <w:p>
      <w:pPr>
        <w:shd w:fill="F2F2F2" w:val="clear"/>
        <w:spacing w:before="40" w:after="40"/>
        <w:ind w:left="360"/>
      </w:pPr>
      <w:r>
        <w:rPr>
          <w:rFonts w:ascii="Courier New" w:cs="Courier New" w:eastAsia="Courier New" w:hAnsi="Courier New"/>
          <w:color w:val="404040"/>
          <w:sz w:val="18"/>
          <w:szCs w:val="18"/>
        </w:rPr>
        <w:t xml:space="preserve">    CreatedAt       time.Time</w:t>
      </w:r>
    </w:p>
    <w:p>
      <w:pPr>
        <w:shd w:fill="F2F2F2" w:val="clear"/>
        <w:spacing w:before="40" w:after="40"/>
        <w:ind w:left="360"/>
      </w:pPr>
      <w:r>
        <w:rPr>
          <w:rFonts w:ascii="Courier New" w:cs="Courier New" w:eastAsia="Courier New" w:hAnsi="Courier New"/>
          <w:color w:val="404040"/>
          <w:sz w:val="18"/>
          <w:szCs w:val="18"/>
        </w:rPr>
        <w:t xml:space="preserve">    DeviceID        [16]byte             // random UUID</w:t>
      </w:r>
    </w:p>
    <w:p>
      <w:pPr>
        <w:shd w:fill="F2F2F2" w:val="clear"/>
        <w:spacing w:before="40" w:after="40"/>
        <w:ind w:left="360"/>
      </w:pPr>
      <w:r>
        <w:rPr>
          <w:rFonts w:ascii="Courier New" w:cs="Courier New" w:eastAsia="Courier New" w:hAnsi="Courier New"/>
          <w:color w:val="404040"/>
          <w:sz w:val="18"/>
          <w:szCs w:val="18"/>
        </w:rPr>
        <w:t xml:space="preserve">}</w:t>
      </w:r>
    </w:p>
    <w:p>
      <w:pPr>
        <w:spacing w:before="60" w:after="0"/>
      </w:pPr>
      <w:r>
        <w:t xml:space="preserve"/>
      </w:r>
    </w:p>
    <w:p>
      <w:pPr>
        <w:spacing w:before="60" w:after="80"/>
        <w:jc w:val="left"/>
      </w:pPr>
      <w:r>
        <w:rPr>
          <w:rFonts w:ascii="Arial" w:cs="Arial" w:eastAsia="Arial" w:hAnsi="Arial"/>
          <w:color w:val="404040"/>
          <w:sz w:val="22"/>
          <w:szCs w:val="22"/>
        </w:rPr>
        <w:t xml:space="preserve">GenerateIdentityKeyPair() generates both key pairs in a single call. Private key material is never logged.</w:t>
      </w:r>
    </w:p>
    <w:p>
      <w:pPr>
        <w:pStyle w:val="Heading3"/>
        <w:spacing w:before="240" w:after="80"/>
      </w:pPr>
      <w:r>
        <w:rPr>
          <w:rFonts w:ascii="Arial" w:cs="Arial" w:eastAsia="Arial" w:hAnsi="Arial"/>
          <w:b/>
          <w:bCs/>
          <w:color w:val="404040"/>
          <w:sz w:val="22"/>
          <w:szCs w:val="22"/>
        </w:rPr>
        <w:t xml:space="preserve">4.2.2 Identity Record</w:t>
      </w:r>
    </w:p>
    <w:p>
      <w:pPr>
        <w:spacing w:before="60" w:after="80"/>
        <w:jc w:val="left"/>
      </w:pPr>
      <w:r>
        <w:rPr>
          <w:rFonts w:ascii="Arial" w:cs="Arial" w:eastAsia="Arial" w:hAnsi="Arial"/>
          <w:color w:val="404040"/>
          <w:sz w:val="22"/>
          <w:szCs w:val="22"/>
        </w:rPr>
        <w:t xml:space="preserve">The IdentityRecord struct maps a human-readable address to a key pair. It is self-certifying: the SelfSignature field covers all other fields and is produced by the identity's own Ed25519 private key.</w:t>
      </w:r>
    </w:p>
    <w:p>
      <w:pPr>
        <w:spacing w:before="6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VerificationTier int</w:t>
      </w:r>
    </w:p>
    <w:p>
      <w:pPr>
        <w:shd w:fill="F2F2F2" w:val="clear"/>
        <w:spacing w:before="40" w:after="40"/>
        <w:ind w:left="360"/>
      </w:pPr>
      <w:r>
        <w:rPr>
          <w:rFonts w:ascii="Courier New" w:cs="Courier New" w:eastAsia="Courier New" w:hAnsi="Courier New"/>
          <w:color w:val="404040"/>
          <w:sz w:val="18"/>
          <w:szCs w:val="18"/>
        </w:rPr>
        <w:t xml:space="preserve">const (</w:t>
      </w:r>
    </w:p>
    <w:p>
      <w:pPr>
        <w:shd w:fill="F2F2F2" w:val="clear"/>
        <w:spacing w:before="40" w:after="40"/>
        <w:ind w:left="360"/>
      </w:pPr>
      <w:r>
        <w:rPr>
          <w:rFonts w:ascii="Courier New" w:cs="Courier New" w:eastAsia="Courier New" w:hAnsi="Courier New"/>
          <w:color w:val="404040"/>
          <w:sz w:val="18"/>
          <w:szCs w:val="18"/>
        </w:rPr>
        <w:t xml:space="preserve">    TierUnverified    VerificationTier = iota</w:t>
      </w:r>
    </w:p>
    <w:p>
      <w:pPr>
        <w:shd w:fill="F2F2F2" w:val="clear"/>
        <w:spacing w:before="40" w:after="40"/>
        <w:ind w:left="360"/>
      </w:pPr>
      <w:r>
        <w:rPr>
          <w:rFonts w:ascii="Courier New" w:cs="Courier New" w:eastAsia="Courier New" w:hAnsi="Courier New"/>
          <w:color w:val="404040"/>
          <w:sz w:val="18"/>
          <w:szCs w:val="18"/>
        </w:rPr>
        <w:t xml:space="preserve">    TierProviderHosted</w:t>
      </w:r>
    </w:p>
    <w:p>
      <w:pPr>
        <w:shd w:fill="F2F2F2" w:val="clear"/>
        <w:spacing w:before="40" w:after="40"/>
        <w:ind w:left="360"/>
      </w:pPr>
      <w:r>
        <w:rPr>
          <w:rFonts w:ascii="Courier New" w:cs="Courier New" w:eastAsia="Courier New" w:hAnsi="Courier New"/>
          <w:color w:val="404040"/>
          <w:sz w:val="18"/>
          <w:szCs w:val="18"/>
        </w:rPr>
        <w:t xml:space="preserve">    TierDomainDNS</w:t>
      </w:r>
    </w:p>
    <w:p>
      <w:pPr>
        <w:shd w:fill="F2F2F2" w:val="clear"/>
        <w:spacing w:before="40" w:after="40"/>
        <w:ind w:left="360"/>
      </w:pPr>
      <w:r>
        <w:rPr>
          <w:rFonts w:ascii="Courier New" w:cs="Courier New" w:eastAsia="Courier New" w:hAnsi="Courier New"/>
          <w:color w:val="404040"/>
          <w:sz w:val="18"/>
          <w:szCs w:val="18"/>
        </w:rPr>
        <w:t xml:space="preserve">    TierDANE</w:t>
      </w:r>
    </w:p>
    <w:p>
      <w:pPr>
        <w:shd w:fill="F2F2F2" w:val="clear"/>
        <w:spacing w:before="40" w:after="40"/>
        <w:ind w:left="360"/>
      </w:pPr>
      <w:r>
        <w:rPr>
          <w:rFonts w:ascii="Courier New" w:cs="Courier New" w:eastAsia="Courier New" w:hAnsi="Courier New"/>
          <w:color w:val="404040"/>
          <w:sz w:val="18"/>
          <w:szCs w:val="18"/>
        </w:rPr>
        <w:t xml:space="preserve">)</w:t>
      </w:r>
    </w:p>
    <w:p>
      <w:pPr>
        <w:spacing w:before="4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IdentityRecord struct {</w:t>
      </w:r>
    </w:p>
    <w:p>
      <w:pPr>
        <w:shd w:fill="F2F2F2" w:val="clear"/>
        <w:spacing w:before="40" w:after="40"/>
        <w:ind w:left="360"/>
      </w:pPr>
      <w:r>
        <w:rPr>
          <w:rFonts w:ascii="Courier New" w:cs="Courier New" w:eastAsia="Courier New" w:hAnsi="Courier New"/>
          <w:color w:val="404040"/>
          <w:sz w:val="18"/>
          <w:szCs w:val="18"/>
        </w:rPr>
        <w:t xml:space="preserve">    Version          uint32</w:t>
      </w:r>
    </w:p>
    <w:p>
      <w:pPr>
        <w:shd w:fill="F2F2F2" w:val="clear"/>
        <w:spacing w:before="40" w:after="40"/>
        <w:ind w:left="360"/>
      </w:pPr>
      <w:r>
        <w:rPr>
          <w:rFonts w:ascii="Courier New" w:cs="Courier New" w:eastAsia="Courier New" w:hAnsi="Courier New"/>
          <w:color w:val="404040"/>
          <w:sz w:val="18"/>
          <w:szCs w:val="18"/>
        </w:rPr>
        <w:t xml:space="preserve">    Address          string           // local@domain</w:t>
      </w:r>
    </w:p>
    <w:p>
      <w:pPr>
        <w:shd w:fill="F2F2F2" w:val="clear"/>
        <w:spacing w:before="40" w:after="40"/>
        <w:ind w:left="360"/>
      </w:pPr>
      <w:r>
        <w:rPr>
          <w:rFonts w:ascii="Courier New" w:cs="Courier New" w:eastAsia="Courier New" w:hAnsi="Courier New"/>
          <w:color w:val="404040"/>
          <w:sz w:val="18"/>
          <w:szCs w:val="18"/>
        </w:rPr>
        <w:t xml:space="preserve">    Ed25519Public    ed25519.PublicKey</w:t>
      </w:r>
    </w:p>
    <w:p>
      <w:pPr>
        <w:shd w:fill="F2F2F2" w:val="clear"/>
        <w:spacing w:before="40" w:after="40"/>
        <w:ind w:left="360"/>
      </w:pPr>
      <w:r>
        <w:rPr>
          <w:rFonts w:ascii="Courier New" w:cs="Courier New" w:eastAsia="Courier New" w:hAnsi="Courier New"/>
          <w:color w:val="404040"/>
          <w:sz w:val="18"/>
          <w:szCs w:val="18"/>
        </w:rPr>
        <w:t xml:space="preserve">    X25519Public     [32]byte</w:t>
      </w:r>
    </w:p>
    <w:p>
      <w:pPr>
        <w:shd w:fill="F2F2F2" w:val="clear"/>
        <w:spacing w:before="40" w:after="40"/>
        <w:ind w:left="360"/>
      </w:pPr>
      <w:r>
        <w:rPr>
          <w:rFonts w:ascii="Courier New" w:cs="Courier New" w:eastAsia="Courier New" w:hAnsi="Courier New"/>
          <w:color w:val="404040"/>
          <w:sz w:val="18"/>
          <w:szCs w:val="18"/>
        </w:rPr>
        <w:t xml:space="preserve">    CreatedAt        time.Time</w:t>
      </w:r>
    </w:p>
    <w:p>
      <w:pPr>
        <w:shd w:fill="F2F2F2" w:val="clear"/>
        <w:spacing w:before="40" w:after="40"/>
        <w:ind w:left="360"/>
      </w:pPr>
      <w:r>
        <w:rPr>
          <w:rFonts w:ascii="Courier New" w:cs="Courier New" w:eastAsia="Courier New" w:hAnsi="Courier New"/>
          <w:color w:val="404040"/>
          <w:sz w:val="18"/>
          <w:szCs w:val="18"/>
        </w:rPr>
        <w:t xml:space="preserve">    ExpiresAt        time.Time        // zero = no expiry</w:t>
      </w:r>
    </w:p>
    <w:p>
      <w:pPr>
        <w:shd w:fill="F2F2F2" w:val="clear"/>
        <w:spacing w:before="40" w:after="40"/>
        <w:ind w:left="360"/>
      </w:pPr>
      <w:r>
        <w:rPr>
          <w:rFonts w:ascii="Courier New" w:cs="Courier New" w:eastAsia="Courier New" w:hAnsi="Courier New"/>
          <w:color w:val="404040"/>
          <w:sz w:val="18"/>
          <w:szCs w:val="18"/>
        </w:rPr>
        <w:t xml:space="preserve">    RelayHints       []string</w:t>
      </w:r>
    </w:p>
    <w:p>
      <w:pPr>
        <w:shd w:fill="F2F2F2" w:val="clear"/>
        <w:spacing w:before="40" w:after="40"/>
        <w:ind w:left="360"/>
      </w:pPr>
      <w:r>
        <w:rPr>
          <w:rFonts w:ascii="Courier New" w:cs="Courier New" w:eastAsia="Courier New" w:hAnsi="Courier New"/>
          <w:color w:val="404040"/>
          <w:sz w:val="18"/>
          <w:szCs w:val="18"/>
        </w:rPr>
        <w:t xml:space="preserve">    VerificationTier VerificationTier</w:t>
      </w:r>
    </w:p>
    <w:p>
      <w:pPr>
        <w:shd w:fill="F2F2F2" w:val="clear"/>
        <w:spacing w:before="40" w:after="40"/>
        <w:ind w:left="360"/>
      </w:pPr>
      <w:r>
        <w:rPr>
          <w:rFonts w:ascii="Courier New" w:cs="Courier New" w:eastAsia="Courier New" w:hAnsi="Courier New"/>
          <w:color w:val="404040"/>
          <w:sz w:val="18"/>
          <w:szCs w:val="18"/>
        </w:rPr>
        <w:t xml:space="preserve">    SelfSignature    [64]byte         // Ed25519 sig over all preceding fields</w:t>
      </w:r>
    </w:p>
    <w:p>
      <w:pPr>
        <w:shd w:fill="F2F2F2" w:val="clear"/>
        <w:spacing w:before="40" w:after="40"/>
        <w:ind w:left="360"/>
      </w:pPr>
      <w:r>
        <w:rPr>
          <w:rFonts w:ascii="Courier New" w:cs="Courier New" w:eastAsia="Courier New" w:hAnsi="Courier New"/>
          <w:color w:val="404040"/>
          <w:sz w:val="18"/>
          <w:szCs w:val="18"/>
        </w:rPr>
        <w:t xml:space="preserve">}</w:t>
      </w:r>
    </w:p>
    <w:p>
      <w:pPr>
        <w:spacing w:before="60" w:after="0"/>
      </w:pPr>
      <w:r>
        <w:t xml:space="preserve"/>
      </w:r>
    </w:p>
    <w:p>
      <w:pPr>
        <w:spacing w:before="60" w:after="80"/>
        <w:jc w:val="left"/>
      </w:pPr>
      <w:r>
        <w:rPr>
          <w:rFonts w:ascii="Arial" w:cs="Arial" w:eastAsia="Arial" w:hAnsi="Arial"/>
          <w:color w:val="404040"/>
          <w:sz w:val="22"/>
          <w:szCs w:val="22"/>
        </w:rPr>
        <w:t xml:space="preserve">Sign(keypair) computes and sets the SelfSignature. Verify() validates the SelfSignature. The signed byte sequence is the canonical protobuf serialisation of all fields except SelfSignature. Both methods must be unit-tested with known vectors.</w:t>
      </w:r>
    </w:p>
    <w:p>
      <w:pPr>
        <w:pStyle w:val="Heading3"/>
        <w:spacing w:before="240" w:after="80"/>
      </w:pPr>
      <w:r>
        <w:rPr>
          <w:rFonts w:ascii="Arial" w:cs="Arial" w:eastAsia="Arial" w:hAnsi="Arial"/>
          <w:b/>
          <w:bCs/>
          <w:color w:val="404040"/>
          <w:sz w:val="22"/>
          <w:szCs w:val="22"/>
        </w:rPr>
        <w:t xml:space="preserve">4.2.3 Fingerprint</w:t>
      </w:r>
    </w:p>
    <w:p>
      <w:pPr>
        <w:spacing w:before="60" w:after="80"/>
        <w:jc w:val="left"/>
      </w:pPr>
      <w:r>
        <w:rPr>
          <w:rFonts w:ascii="Arial" w:cs="Arial" w:eastAsia="Arial" w:hAnsi="Arial"/>
          <w:color w:val="404040"/>
          <w:sz w:val="22"/>
          <w:szCs w:val="22"/>
        </w:rPr>
        <w:t xml:space="preserve">Fingerprint() returns the first 20 bytes of SHA-256(Ed25519Public || X25519Public), encoded as a 40-character uppercase hex string. Used for out-of-band identity verification.</w:t>
      </w:r>
    </w:p>
    <w:p>
      <w:pPr>
        <w:pStyle w:val="Heading2"/>
        <w:spacing w:before="320" w:after="120"/>
      </w:pPr>
      <w:r>
        <w:rPr>
          <w:rFonts w:ascii="Arial" w:cs="Arial" w:eastAsia="Arial" w:hAnsi="Arial"/>
          <w:b/>
          <w:bCs/>
          <w:color w:val="2E75B6"/>
          <w:sz w:val="26"/>
          <w:szCs w:val="26"/>
        </w:rPr>
        <w:t xml:space="preserve">4.3 Message Format (internal/core/message)</w:t>
      </w:r>
    </w:p>
    <w:p>
      <w:pPr>
        <w:spacing w:before="60" w:after="80"/>
        <w:jc w:val="left"/>
      </w:pPr>
      <w:r>
        <w:rPr>
          <w:rFonts w:ascii="Arial" w:cs="Arial" w:eastAsia="Arial" w:hAnsi="Arial"/>
          <w:color w:val="404040"/>
          <w:sz w:val="22"/>
          <w:szCs w:val="22"/>
        </w:rPr>
        <w:t xml:space="preserve">Implement the three-layer message structure defined in whitepaper Section 15.3: PlaintextMessage, SignedMessage, and EncryptedEnvelope.</w:t>
      </w:r>
    </w:p>
    <w:p>
      <w:pPr>
        <w:spacing w:before="80" w:after="0"/>
      </w:pPr>
      <w:r>
        <w:t xml:space="preserve"/>
      </w:r>
    </w:p>
    <w:p>
      <w:pPr>
        <w:pStyle w:val="Heading3"/>
        <w:spacing w:before="240" w:after="80"/>
      </w:pPr>
      <w:r>
        <w:rPr>
          <w:rFonts w:ascii="Arial" w:cs="Arial" w:eastAsia="Arial" w:hAnsi="Arial"/>
          <w:b/>
          <w:bCs/>
          <w:color w:val="404040"/>
          <w:sz w:val="22"/>
          <w:szCs w:val="22"/>
        </w:rPr>
        <w:t xml:space="preserve">4.3.1 PlaintextMessage</w:t>
      </w:r>
    </w:p>
    <w:p>
      <w:pPr>
        <w:spacing w:before="60" w:after="80"/>
        <w:jc w:val="left"/>
      </w:pPr>
      <w:r>
        <w:rPr>
          <w:rFonts w:ascii="Arial" w:cs="Arial" w:eastAsia="Arial" w:hAnsi="Arial"/>
          <w:color w:val="404040"/>
          <w:sz w:val="22"/>
          <w:szCs w:val="22"/>
        </w:rPr>
        <w:t xml:space="preserve">Represents a composed message before signing or encryption.</w:t>
      </w:r>
    </w:p>
    <w:p>
      <w:pPr>
        <w:spacing w:before="6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PlaintextMessage struct {</w:t>
      </w:r>
    </w:p>
    <w:p>
      <w:pPr>
        <w:shd w:fill="F2F2F2" w:val="clear"/>
        <w:spacing w:before="40" w:after="40"/>
        <w:ind w:left="360"/>
      </w:pPr>
      <w:r>
        <w:rPr>
          <w:rFonts w:ascii="Courier New" w:cs="Courier New" w:eastAsia="Courier New" w:hAnsi="Courier New"/>
          <w:color w:val="404040"/>
          <w:sz w:val="18"/>
          <w:szCs w:val="18"/>
        </w:rPr>
        <w:t xml:space="preserve">    Version          uint32</w:t>
      </w:r>
    </w:p>
    <w:p>
      <w:pPr>
        <w:shd w:fill="F2F2F2" w:val="clear"/>
        <w:spacing w:before="40" w:after="40"/>
        <w:ind w:left="360"/>
      </w:pPr>
      <w:r>
        <w:rPr>
          <w:rFonts w:ascii="Courier New" w:cs="Courier New" w:eastAsia="Courier New" w:hAnsi="Courier New"/>
          <w:color w:val="404040"/>
          <w:sz w:val="18"/>
          <w:szCs w:val="18"/>
        </w:rPr>
        <w:t xml:space="preserve">    MessageID        [16]byte         // random UUID</w:t>
      </w:r>
    </w:p>
    <w:p>
      <w:pPr>
        <w:shd w:fill="F2F2F2" w:val="clear"/>
        <w:spacing w:before="40" w:after="40"/>
        <w:ind w:left="360"/>
      </w:pPr>
      <w:r>
        <w:rPr>
          <w:rFonts w:ascii="Courier New" w:cs="Courier New" w:eastAsia="Courier New" w:hAnsi="Courier New"/>
          <w:color w:val="404040"/>
          <w:sz w:val="18"/>
          <w:szCs w:val="18"/>
        </w:rPr>
        <w:t xml:space="preserve">    ThreadID         [16]byte         // UUID linking conversation thread</w:t>
      </w:r>
    </w:p>
    <w:p>
      <w:pPr>
        <w:shd w:fill="F2F2F2" w:val="clear"/>
        <w:spacing w:before="40" w:after="40"/>
        <w:ind w:left="360"/>
      </w:pPr>
      <w:r>
        <w:rPr>
          <w:rFonts w:ascii="Courier New" w:cs="Courier New" w:eastAsia="Courier New" w:hAnsi="Courier New"/>
          <w:color w:val="404040"/>
          <w:sz w:val="18"/>
          <w:szCs w:val="18"/>
        </w:rPr>
        <w:t xml:space="preserve">    SenderAddress    string</w:t>
      </w:r>
    </w:p>
    <w:p>
      <w:pPr>
        <w:shd w:fill="F2F2F2" w:val="clear"/>
        <w:spacing w:before="40" w:after="40"/>
        <w:ind w:left="360"/>
      </w:pPr>
      <w:r>
        <w:rPr>
          <w:rFonts w:ascii="Courier New" w:cs="Courier New" w:eastAsia="Courier New" w:hAnsi="Courier New"/>
          <w:color w:val="404040"/>
          <w:sz w:val="18"/>
          <w:szCs w:val="18"/>
        </w:rPr>
        <w:t xml:space="preserve">    SenderPublicKey  ed25519.PublicKey</w:t>
      </w:r>
    </w:p>
    <w:p>
      <w:pPr>
        <w:shd w:fill="F2F2F2" w:val="clear"/>
        <w:spacing w:before="40" w:after="40"/>
        <w:ind w:left="360"/>
      </w:pPr>
      <w:r>
        <w:rPr>
          <w:rFonts w:ascii="Courier New" w:cs="Courier New" w:eastAsia="Courier New" w:hAnsi="Courier New"/>
          <w:color w:val="404040"/>
          <w:sz w:val="18"/>
          <w:szCs w:val="18"/>
        </w:rPr>
        <w:t xml:space="preserve">    RecipientAddress string</w:t>
      </w:r>
    </w:p>
    <w:p>
      <w:pPr>
        <w:shd w:fill="F2F2F2" w:val="clear"/>
        <w:spacing w:before="40" w:after="40"/>
        <w:ind w:left="360"/>
      </w:pPr>
      <w:r>
        <w:rPr>
          <w:rFonts w:ascii="Courier New" w:cs="Courier New" w:eastAsia="Courier New" w:hAnsi="Courier New"/>
          <w:color w:val="404040"/>
          <w:sz w:val="18"/>
          <w:szCs w:val="18"/>
        </w:rPr>
        <w:t xml:space="preserve">    SentAt           time.Time</w:t>
      </w:r>
    </w:p>
    <w:p>
      <w:pPr>
        <w:shd w:fill="F2F2F2" w:val="clear"/>
        <w:spacing w:before="40" w:after="40"/>
        <w:ind w:left="360"/>
      </w:pPr>
      <w:r>
        <w:rPr>
          <w:rFonts w:ascii="Courier New" w:cs="Courier New" w:eastAsia="Courier New" w:hAnsi="Courier New"/>
          <w:color w:val="404040"/>
          <w:sz w:val="18"/>
          <w:szCs w:val="18"/>
        </w:rPr>
        <w:t xml:space="preserve">    Subject          string</w:t>
      </w:r>
    </w:p>
    <w:p>
      <w:pPr>
        <w:shd w:fill="F2F2F2" w:val="clear"/>
        <w:spacing w:before="40" w:after="40"/>
        <w:ind w:left="360"/>
      </w:pPr>
      <w:r>
        <w:rPr>
          <w:rFonts w:ascii="Courier New" w:cs="Courier New" w:eastAsia="Courier New" w:hAnsi="Courier New"/>
          <w:color w:val="404040"/>
          <w:sz w:val="18"/>
          <w:szCs w:val="18"/>
        </w:rPr>
        <w:t xml:space="preserve">    Body             MessageBody</w:t>
      </w:r>
    </w:p>
    <w:p>
      <w:pPr>
        <w:shd w:fill="F2F2F2" w:val="clear"/>
        <w:spacing w:before="40" w:after="40"/>
        <w:ind w:left="360"/>
      </w:pPr>
      <w:r>
        <w:rPr>
          <w:rFonts w:ascii="Courier New" w:cs="Courier New" w:eastAsia="Courier New" w:hAnsi="Courier New"/>
          <w:color w:val="404040"/>
          <w:sz w:val="18"/>
          <w:szCs w:val="18"/>
        </w:rPr>
        <w:t xml:space="preserve">    Attachments      []AttachmentRecord</w:t>
      </w:r>
    </w:p>
    <w:p>
      <w:pPr>
        <w:shd w:fill="F2F2F2" w:val="clear"/>
        <w:spacing w:before="40" w:after="40"/>
        <w:ind w:left="360"/>
      </w:pPr>
      <w:r>
        <w:rPr>
          <w:rFonts w:ascii="Courier New" w:cs="Courier New" w:eastAsia="Courier New" w:hAnsi="Courier New"/>
          <w:color w:val="404040"/>
          <w:sz w:val="18"/>
          <w:szCs w:val="18"/>
        </w:rPr>
        <w:t xml:space="preserve">    ReplyToID        [16]byte         // zero = not a reply</w:t>
      </w:r>
    </w:p>
    <w:p>
      <w:pPr>
        <w:shd w:fill="F2F2F2" w:val="clear"/>
        <w:spacing w:before="40" w:after="40"/>
        <w:ind w:left="360"/>
      </w:pPr>
      <w:r>
        <w:rPr>
          <w:rFonts w:ascii="Courier New" w:cs="Courier New" w:eastAsia="Courier New" w:hAnsi="Courier New"/>
          <w:color w:val="404040"/>
          <w:sz w:val="18"/>
          <w:szCs w:val="18"/>
        </w:rPr>
        <w:t xml:space="preserve">}</w:t>
      </w:r>
    </w:p>
    <w:p>
      <w:pPr>
        <w:spacing w:before="4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MessageBody struct {</w:t>
      </w:r>
    </w:p>
    <w:p>
      <w:pPr>
        <w:shd w:fill="F2F2F2" w:val="clear"/>
        <w:spacing w:before="40" w:after="40"/>
        <w:ind w:left="360"/>
      </w:pPr>
      <w:r>
        <w:rPr>
          <w:rFonts w:ascii="Courier New" w:cs="Courier New" w:eastAsia="Courier New" w:hAnsi="Courier New"/>
          <w:color w:val="404040"/>
          <w:sz w:val="18"/>
          <w:szCs w:val="18"/>
        </w:rPr>
        <w:t xml:space="preserve">    ContentType string               // e.g. "text/plain"</w:t>
      </w:r>
    </w:p>
    <w:p>
      <w:pPr>
        <w:shd w:fill="F2F2F2" w:val="clear"/>
        <w:spacing w:before="40" w:after="40"/>
        <w:ind w:left="360"/>
      </w:pPr>
      <w:r>
        <w:rPr>
          <w:rFonts w:ascii="Courier New" w:cs="Courier New" w:eastAsia="Courier New" w:hAnsi="Courier New"/>
          <w:color w:val="404040"/>
          <w:sz w:val="18"/>
          <w:szCs w:val="18"/>
        </w:rPr>
        <w:t xml:space="preserve">    Content     []byte</w:t>
      </w:r>
    </w:p>
    <w:p>
      <w:pPr>
        <w:shd w:fill="F2F2F2" w:val="clear"/>
        <w:spacing w:before="40" w:after="40"/>
        <w:ind w:left="360"/>
      </w:pPr>
      <w:r>
        <w:rPr>
          <w:rFonts w:ascii="Courier New" w:cs="Courier New" w:eastAsia="Courier New" w:hAnsi="Courier New"/>
          <w:color w:val="404040"/>
          <w:sz w:val="18"/>
          <w:szCs w:val="18"/>
        </w:rPr>
        <w:t xml:space="preserve">}</w:t>
      </w:r>
    </w:p>
    <w:p>
      <w:pPr>
        <w:pStyle w:val="Heading3"/>
        <w:spacing w:before="240" w:after="80"/>
      </w:pPr>
      <w:r>
        <w:rPr>
          <w:rFonts w:ascii="Arial" w:cs="Arial" w:eastAsia="Arial" w:hAnsi="Arial"/>
          <w:b/>
          <w:bCs/>
          <w:color w:val="404040"/>
          <w:sz w:val="22"/>
          <w:szCs w:val="22"/>
        </w:rPr>
        <w:t xml:space="preserve">4.3.2 SignedMessage</w:t>
      </w:r>
    </w:p>
    <w:p>
      <w:pPr>
        <w:spacing w:before="60" w:after="80"/>
        <w:jc w:val="left"/>
      </w:pPr>
      <w:r>
        <w:rPr>
          <w:rFonts w:ascii="Arial" w:cs="Arial" w:eastAsia="Arial" w:hAnsi="Arial"/>
          <w:color w:val="404040"/>
          <w:sz w:val="22"/>
          <w:szCs w:val="22"/>
        </w:rPr>
        <w:t xml:space="preserve">The sender signs the canonical serialisation of PlaintextMessage with their Ed25519 private key.</w:t>
      </w:r>
    </w:p>
    <w:p>
      <w:pPr>
        <w:spacing w:before="6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SignedMessage struct {</w:t>
      </w:r>
    </w:p>
    <w:p>
      <w:pPr>
        <w:shd w:fill="F2F2F2" w:val="clear"/>
        <w:spacing w:before="40" w:after="40"/>
        <w:ind w:left="360"/>
      </w:pPr>
      <w:r>
        <w:rPr>
          <w:rFonts w:ascii="Courier New" w:cs="Courier New" w:eastAsia="Courier New" w:hAnsi="Courier New"/>
          <w:color w:val="404040"/>
          <w:sz w:val="18"/>
          <w:szCs w:val="18"/>
        </w:rPr>
        <w:t xml:space="preserve">    Plaintext       PlaintextMessage</w:t>
      </w:r>
    </w:p>
    <w:p>
      <w:pPr>
        <w:shd w:fill="F2F2F2" w:val="clear"/>
        <w:spacing w:before="40" w:after="40"/>
        <w:ind w:left="360"/>
      </w:pPr>
      <w:r>
        <w:rPr>
          <w:rFonts w:ascii="Courier New" w:cs="Courier New" w:eastAsia="Courier New" w:hAnsi="Courier New"/>
          <w:color w:val="404040"/>
          <w:sz w:val="18"/>
          <w:szCs w:val="18"/>
        </w:rPr>
        <w:t xml:space="preserve">    SenderSignature [64]byte          // Ed25519 sig over Plaintext</w:t>
      </w:r>
    </w:p>
    <w:p>
      <w:pPr>
        <w:shd w:fill="F2F2F2" w:val="clear"/>
        <w:spacing w:before="40" w:after="40"/>
        <w:ind w:left="360"/>
      </w:pPr>
      <w:r>
        <w:rPr>
          <w:rFonts w:ascii="Courier New" w:cs="Courier New" w:eastAsia="Courier New" w:hAnsi="Courier New"/>
          <w:color w:val="404040"/>
          <w:sz w:val="18"/>
          <w:szCs w:val="18"/>
        </w:rPr>
        <w:t xml:space="preserve">}</w:t>
      </w:r>
    </w:p>
    <w:p>
      <w:pPr>
        <w:spacing w:before="60" w:after="0"/>
      </w:pPr>
      <w:r>
        <w:t xml:space="preserve"/>
      </w:r>
    </w:p>
    <w:p>
      <w:pPr>
        <w:spacing w:before="60" w:after="80"/>
        <w:jc w:val="left"/>
      </w:pPr>
      <w:r>
        <w:rPr>
          <w:rFonts w:ascii="Arial" w:cs="Arial" w:eastAsia="Arial" w:hAnsi="Arial"/>
          <w:color w:val="404040"/>
          <w:sz w:val="22"/>
          <w:szCs w:val="22"/>
        </w:rPr>
        <w:t xml:space="preserve">Sign(senderPrivKey) computes and sets SenderSignature. Verify(senderPubKey) validates it. A SignedMessage with an invalid signature must never be displayed to a user — this invariant must be enforced at the API boundary, not left to callers.</w:t>
      </w:r>
    </w:p>
    <w:p>
      <w:pPr>
        <w:pStyle w:val="Heading3"/>
        <w:spacing w:before="240" w:after="80"/>
      </w:pPr>
      <w:r>
        <w:rPr>
          <w:rFonts w:ascii="Arial" w:cs="Arial" w:eastAsia="Arial" w:hAnsi="Arial"/>
          <w:b/>
          <w:bCs/>
          <w:color w:val="404040"/>
          <w:sz w:val="22"/>
          <w:szCs w:val="22"/>
        </w:rPr>
        <w:t xml:space="preserve">4.3.3 EncryptedEnvelope and KEM Pattern</w:t>
      </w:r>
    </w:p>
    <w:p>
      <w:pPr>
        <w:spacing w:before="60" w:after="80"/>
        <w:jc w:val="left"/>
      </w:pPr>
      <w:r>
        <w:rPr>
          <w:rFonts w:ascii="Arial" w:cs="Arial" w:eastAsia="Arial" w:hAnsi="Arial"/>
          <w:color w:val="404040"/>
          <w:sz w:val="22"/>
          <w:szCs w:val="22"/>
        </w:rPr>
        <w:t xml:space="preserve">Implements the hybrid encryption scheme from whitepaper Section 15.3.3. The message is encrypted once with a randomly generated Content Encryption Key (CEK). The CEK is wrapped individually for each recipient device using X25519 key exchange + HKDF-SHA256 to derive a wrapping key, then AES-256-GCM to encrypt the CEK.</w:t>
      </w:r>
    </w:p>
    <w:p>
      <w:pPr>
        <w:spacing w:before="6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RecipientRecord struct {</w:t>
      </w:r>
    </w:p>
    <w:p>
      <w:pPr>
        <w:shd w:fill="F2F2F2" w:val="clear"/>
        <w:spacing w:before="40" w:after="40"/>
        <w:ind w:left="360"/>
      </w:pPr>
      <w:r>
        <w:rPr>
          <w:rFonts w:ascii="Courier New" w:cs="Courier New" w:eastAsia="Courier New" w:hAnsi="Courier New"/>
          <w:color w:val="404040"/>
          <w:sz w:val="18"/>
          <w:szCs w:val="18"/>
        </w:rPr>
        <w:t xml:space="preserve">    DeviceID         [16]byte</w:t>
      </w:r>
    </w:p>
    <w:p>
      <w:pPr>
        <w:shd w:fill="F2F2F2" w:val="clear"/>
        <w:spacing w:before="40" w:after="40"/>
        <w:ind w:left="360"/>
      </w:pPr>
      <w:r>
        <w:rPr>
          <w:rFonts w:ascii="Courier New" w:cs="Courier New" w:eastAsia="Courier New" w:hAnsi="Courier New"/>
          <w:color w:val="404040"/>
          <w:sz w:val="18"/>
          <w:szCs w:val="18"/>
        </w:rPr>
        <w:t xml:space="preserve">    RecipientXPub    [32]byte         // X25519 public key of recipient device</w:t>
      </w:r>
    </w:p>
    <w:p>
      <w:pPr>
        <w:shd w:fill="F2F2F2" w:val="clear"/>
        <w:spacing w:before="40" w:after="40"/>
        <w:ind w:left="360"/>
      </w:pPr>
      <w:r>
        <w:rPr>
          <w:rFonts w:ascii="Courier New" w:cs="Courier New" w:eastAsia="Courier New" w:hAnsi="Courier New"/>
          <w:color w:val="404040"/>
          <w:sz w:val="18"/>
          <w:szCs w:val="18"/>
        </w:rPr>
        <w:t xml:space="preserve">    EphemeralXPub    [32]byte         // per-recipient ephemeral X25519 public key</w:t>
      </w:r>
    </w:p>
    <w:p>
      <w:pPr>
        <w:shd w:fill="F2F2F2" w:val="clear"/>
        <w:spacing w:before="40" w:after="40"/>
        <w:ind w:left="360"/>
      </w:pPr>
      <w:r>
        <w:rPr>
          <w:rFonts w:ascii="Courier New" w:cs="Courier New" w:eastAsia="Courier New" w:hAnsi="Courier New"/>
          <w:color w:val="404040"/>
          <w:sz w:val="18"/>
          <w:szCs w:val="18"/>
        </w:rPr>
        <w:t xml:space="preserve">    WrappedCEK       []byte           // AES-256-GCM ciphertext of CEK</w:t>
      </w:r>
    </w:p>
    <w:p>
      <w:pPr>
        <w:shd w:fill="F2F2F2" w:val="clear"/>
        <w:spacing w:before="40" w:after="40"/>
        <w:ind w:left="360"/>
      </w:pPr>
      <w:r>
        <w:rPr>
          <w:rFonts w:ascii="Courier New" w:cs="Courier New" w:eastAsia="Courier New" w:hAnsi="Courier New"/>
          <w:color w:val="404040"/>
          <w:sz w:val="18"/>
          <w:szCs w:val="18"/>
        </w:rPr>
        <w:t xml:space="preserve">    CEKNonce         [12]byte         // 96-bit nonce for CEK wrapping</w:t>
      </w:r>
    </w:p>
    <w:p>
      <w:pPr>
        <w:shd w:fill="F2F2F2" w:val="clear"/>
        <w:spacing w:before="40" w:after="40"/>
        <w:ind w:left="360"/>
      </w:pPr>
      <w:r>
        <w:rPr>
          <w:rFonts w:ascii="Courier New" w:cs="Courier New" w:eastAsia="Courier New" w:hAnsi="Courier New"/>
          <w:color w:val="404040"/>
          <w:sz w:val="18"/>
          <w:szCs w:val="18"/>
        </w:rPr>
        <w:t xml:space="preserve">    CEKTag           [16]byte         // GCM auth tag for CEK wrapping</w:t>
      </w:r>
    </w:p>
    <w:p>
      <w:pPr>
        <w:shd w:fill="F2F2F2" w:val="clear"/>
        <w:spacing w:before="40" w:after="40"/>
        <w:ind w:left="360"/>
      </w:pPr>
      <w:r>
        <w:rPr>
          <w:rFonts w:ascii="Courier New" w:cs="Courier New" w:eastAsia="Courier New" w:hAnsi="Courier New"/>
          <w:color w:val="404040"/>
          <w:sz w:val="18"/>
          <w:szCs w:val="18"/>
        </w:rPr>
        <w:t xml:space="preserve">}</w:t>
      </w:r>
    </w:p>
    <w:p>
      <w:pPr>
        <w:spacing w:before="4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type EncryptedEnvelope struct {</w:t>
      </w:r>
    </w:p>
    <w:p>
      <w:pPr>
        <w:shd w:fill="F2F2F2" w:val="clear"/>
        <w:spacing w:before="40" w:after="40"/>
        <w:ind w:left="360"/>
      </w:pPr>
      <w:r>
        <w:rPr>
          <w:rFonts w:ascii="Courier New" w:cs="Courier New" w:eastAsia="Courier New" w:hAnsi="Courier New"/>
          <w:color w:val="404040"/>
          <w:sz w:val="18"/>
          <w:szCs w:val="18"/>
        </w:rPr>
        <w:t xml:space="preserve">    Version          uint32</w:t>
      </w:r>
    </w:p>
    <w:p>
      <w:pPr>
        <w:shd w:fill="F2F2F2" w:val="clear"/>
        <w:spacing w:before="40" w:after="40"/>
        <w:ind w:left="360"/>
      </w:pPr>
      <w:r>
        <w:rPr>
          <w:rFonts w:ascii="Courier New" w:cs="Courier New" w:eastAsia="Courier New" w:hAnsi="Courier New"/>
          <w:color w:val="404040"/>
          <w:sz w:val="18"/>
          <w:szCs w:val="18"/>
        </w:rPr>
        <w:t xml:space="preserve">    MessageID        [16]byte</w:t>
      </w:r>
    </w:p>
    <w:p>
      <w:pPr>
        <w:shd w:fill="F2F2F2" w:val="clear"/>
        <w:spacing w:before="40" w:after="40"/>
        <w:ind w:left="360"/>
      </w:pPr>
      <w:r>
        <w:rPr>
          <w:rFonts w:ascii="Courier New" w:cs="Courier New" w:eastAsia="Courier New" w:hAnsi="Courier New"/>
          <w:color w:val="404040"/>
          <w:sz w:val="18"/>
          <w:szCs w:val="18"/>
        </w:rPr>
        <w:t xml:space="preserve">    Recipients       []RecipientRecord</w:t>
      </w:r>
    </w:p>
    <w:p>
      <w:pPr>
        <w:shd w:fill="F2F2F2" w:val="clear"/>
        <w:spacing w:before="40" w:after="40"/>
        <w:ind w:left="360"/>
      </w:pPr>
      <w:r>
        <w:rPr>
          <w:rFonts w:ascii="Courier New" w:cs="Courier New" w:eastAsia="Courier New" w:hAnsi="Courier New"/>
          <w:color w:val="404040"/>
          <w:sz w:val="18"/>
          <w:szCs w:val="18"/>
        </w:rPr>
        <w:t xml:space="preserve">    EncryptedPayload []byte           // AES-256-GCM ciphertext of SignedMessage</w:t>
      </w:r>
    </w:p>
    <w:p>
      <w:pPr>
        <w:shd w:fill="F2F2F2" w:val="clear"/>
        <w:spacing w:before="40" w:after="40"/>
        <w:ind w:left="360"/>
      </w:pPr>
      <w:r>
        <w:rPr>
          <w:rFonts w:ascii="Courier New" w:cs="Courier New" w:eastAsia="Courier New" w:hAnsi="Courier New"/>
          <w:color w:val="404040"/>
          <w:sz w:val="18"/>
          <w:szCs w:val="18"/>
        </w:rPr>
        <w:t xml:space="preserve">    PayloadNonce     [12]byte         // 96-bit nonce for payload</w:t>
      </w:r>
    </w:p>
    <w:p>
      <w:pPr>
        <w:shd w:fill="F2F2F2" w:val="clear"/>
        <w:spacing w:before="40" w:after="40"/>
        <w:ind w:left="360"/>
      </w:pPr>
      <w:r>
        <w:rPr>
          <w:rFonts w:ascii="Courier New" w:cs="Courier New" w:eastAsia="Courier New" w:hAnsi="Courier New"/>
          <w:color w:val="404040"/>
          <w:sz w:val="18"/>
          <w:szCs w:val="18"/>
        </w:rPr>
        <w:t xml:space="preserve">    PayloadTag       [16]byte         // GCM auth tag for payload</w:t>
      </w:r>
    </w:p>
    <w:p>
      <w:pPr>
        <w:shd w:fill="F2F2F2" w:val="clear"/>
        <w:spacing w:before="40" w:after="40"/>
        <w:ind w:left="360"/>
      </w:pPr>
      <w:r>
        <w:rPr>
          <w:rFonts w:ascii="Courier New" w:cs="Courier New" w:eastAsia="Courier New" w:hAnsi="Courier New"/>
          <w:color w:val="404040"/>
          <w:sz w:val="18"/>
          <w:szCs w:val="18"/>
        </w:rPr>
        <w:t xml:space="preserve">    PayloadSizeClass uint32           // padded size bucket</w:t>
      </w:r>
    </w:p>
    <w:p>
      <w:pPr>
        <w:shd w:fill="F2F2F2" w:val="clear"/>
        <w:spacing w:before="40" w:after="40"/>
        <w:ind w:left="360"/>
      </w:pPr>
      <w:r>
        <w:rPr>
          <w:rFonts w:ascii="Courier New" w:cs="Courier New" w:eastAsia="Courier New" w:hAnsi="Courier New"/>
          <w:color w:val="404040"/>
          <w:sz w:val="18"/>
          <w:szCs w:val="18"/>
        </w:rPr>
        <w:t xml:space="preserve">    CreatedAt        time.Time</w:t>
      </w:r>
    </w:p>
    <w:p>
      <w:pPr>
        <w:shd w:fill="F2F2F2" w:val="clear"/>
        <w:spacing w:before="40" w:after="40"/>
        <w:ind w:left="360"/>
      </w:pPr>
      <w:r>
        <w:rPr>
          <w:rFonts w:ascii="Courier New" w:cs="Courier New" w:eastAsia="Courier New" w:hAnsi="Courier New"/>
          <w:color w:val="404040"/>
          <w:sz w:val="18"/>
          <w:szCs w:val="18"/>
        </w:rPr>
        <w:t xml:space="preserve">    RatchetPubKey    [32]byte         // reserved; zero in protocol v1</w:t>
      </w:r>
    </w:p>
    <w:p>
      <w:pPr>
        <w:shd w:fill="F2F2F2" w:val="clear"/>
        <w:spacing w:before="40" w:after="40"/>
        <w:ind w:left="360"/>
      </w:pPr>
      <w:r>
        <w:rPr>
          <w:rFonts w:ascii="Courier New" w:cs="Courier New" w:eastAsia="Courier New" w:hAnsi="Courier New"/>
          <w:color w:val="404040"/>
          <w:sz w:val="18"/>
          <w:szCs w:val="18"/>
        </w:rPr>
        <w:t xml:space="preserve">}</w:t>
      </w:r>
    </w:p>
    <w:p>
      <w:pPr>
        <w:spacing w:before="60" w:after="0"/>
      </w:pPr>
      <w:r>
        <w:t xml:space="preserve"/>
      </w:r>
    </w:p>
    <w:p>
      <w:pPr>
        <w:spacing w:before="60" w:after="80"/>
        <w:jc w:val="left"/>
      </w:pPr>
      <w:r>
        <w:rPr>
          <w:rFonts w:ascii="Arial" w:cs="Arial" w:eastAsia="Arial" w:hAnsi="Arial"/>
          <w:color w:val="404040"/>
          <w:sz w:val="22"/>
          <w:szCs w:val="22"/>
        </w:rPr>
        <w:t xml:space="preserve">Encrypt(msg SignedMessage, recipients []RecipientInfo) produces an EncryptedEnvelope. Decrypt(envelope EncryptedEnvelope, recipientPrivKey [32]byte, deviceID [16]byte) returns the SignedMessage. Both functions must validate all cryptographic material and return typed errors on failure.</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RatchetPubKey:  </w:t>
      </w:r>
      <w:r>
        <w:rPr>
          <w:rFonts w:ascii="Arial" w:cs="Arial" w:eastAsia="Arial" w:hAnsi="Arial"/>
          <w:i/>
          <w:iCs/>
          <w:color w:val="404040"/>
          <w:sz w:val="20"/>
          <w:szCs w:val="20"/>
        </w:rPr>
        <w:t xml:space="preserve">This field is reserved for the Double Ratchet upgrade path (protocol v2). It must be present in the struct and serialised as a zero-valued 32-byte field in v1. Relay nodes and recipients must silently ignore it. Do not implement ratchet mechanics at this stage.</w:t>
      </w:r>
    </w:p>
    <w:p>
      <w:pPr>
        <w:pStyle w:val="Heading2"/>
        <w:spacing w:before="320" w:after="120"/>
      </w:pPr>
      <w:r>
        <w:rPr>
          <w:rFonts w:ascii="Arial" w:cs="Arial" w:eastAsia="Arial" w:hAnsi="Arial"/>
          <w:b/>
          <w:bCs/>
          <w:color w:val="2E75B6"/>
          <w:sz w:val="26"/>
          <w:szCs w:val="26"/>
        </w:rPr>
        <w:t xml:space="preserve">4.4 Protocol Buffer Definitions (proto/)</w:t>
      </w:r>
    </w:p>
    <w:p>
      <w:pPr>
        <w:spacing w:before="60" w:after="80"/>
        <w:jc w:val="left"/>
      </w:pPr>
      <w:r>
        <w:rPr>
          <w:rFonts w:ascii="Arial" w:cs="Arial" w:eastAsia="Arial" w:hAnsi="Arial"/>
          <w:color w:val="404040"/>
          <w:sz w:val="22"/>
          <w:szCs w:val="22"/>
        </w:rPr>
        <w:t xml:space="preserve">Define .proto (protobuf v3) schemas that correspond 1:1 to the Go structs above. The proto definitions are the canonical wire format; the Go structs are generated from them where practical, or manually maintained in parallel with explicit serialisation tests.</w:t>
      </w:r>
    </w:p>
    <w:p>
      <w:pPr>
        <w:spacing w:before="80" w:after="0"/>
      </w:pPr>
      <w:r>
        <w:t xml:space="preserve"/>
      </w:r>
    </w:p>
    <w:p>
      <w:pPr>
        <w:pStyle w:val="ListParagraph"/>
        <w:numPr>
          <w:ilvl w:val="0"/>
          <w:numId w:val="2"/>
        </w:numPr>
        <w:spacing w:before="40" w:after="40"/>
      </w:pPr>
      <w:r>
        <w:rPr>
          <w:rFonts w:ascii="Arial" w:cs="Arial" w:eastAsia="Arial" w:hAnsi="Arial"/>
          <w:color w:val="404040"/>
          <w:sz w:val="22"/>
          <w:szCs w:val="22"/>
        </w:rPr>
        <w:t xml:space="preserve">identity.proto — IdentityRecord, AttestationRecord, VerificationTier enum</w:t>
      </w:r>
    </w:p>
    <w:p>
      <w:pPr>
        <w:pStyle w:val="ListParagraph"/>
        <w:numPr>
          <w:ilvl w:val="0"/>
          <w:numId w:val="2"/>
        </w:numPr>
        <w:spacing w:before="40" w:after="40"/>
      </w:pPr>
      <w:r>
        <w:rPr>
          <w:rFonts w:ascii="Arial" w:cs="Arial" w:eastAsia="Arial" w:hAnsi="Arial"/>
          <w:color w:val="404040"/>
          <w:sz w:val="22"/>
          <w:szCs w:val="22"/>
        </w:rPr>
        <w:t xml:space="preserve">message.proto — PlaintextMessage, SignedMessage, EncryptedEnvelope, RecipientRecord, MessageBody, AttachmentRecord</w:t>
      </w:r>
    </w:p>
    <w:p>
      <w:pPr>
        <w:spacing w:before="80" w:after="0"/>
      </w:pPr>
      <w:r>
        <w:t xml:space="preserve"/>
      </w:r>
    </w:p>
    <w:p>
      <w:pPr>
        <w:spacing w:before="60" w:after="80"/>
        <w:jc w:val="left"/>
      </w:pPr>
      <w:r>
        <w:rPr>
          <w:rFonts w:ascii="Arial" w:cs="Arial" w:eastAsia="Arial" w:hAnsi="Arial"/>
          <w:color w:val="404040"/>
          <w:sz w:val="22"/>
          <w:szCs w:val="22"/>
        </w:rPr>
        <w:t xml:space="preserve">All binary fields (keys, signatures, nonces, tags) are bytes in proto and []byte in Go. All timestamps are int64 Unix seconds in proto and time.Time in Go, with explicit conversion functions. String fields are UTF-8.</w:t>
      </w:r>
    </w:p>
    <w:p>
      <w:pPr>
        <w:pStyle w:val="Heading2"/>
        <w:spacing w:before="320" w:after="120"/>
      </w:pPr>
      <w:r>
        <w:rPr>
          <w:rFonts w:ascii="Arial" w:cs="Arial" w:eastAsia="Arial" w:hAnsi="Arial"/>
          <w:b/>
          <w:bCs/>
          <w:color w:val="2E75B6"/>
          <w:sz w:val="26"/>
          <w:szCs w:val="26"/>
        </w:rPr>
        <w:t xml:space="preserve">4.5 Test Requirements for Milestone 1</w:t>
      </w:r>
    </w:p>
    <w:p>
      <w:pPr>
        <w:spacing w:before="60" w:after="80"/>
        <w:jc w:val="left"/>
      </w:pPr>
      <w:r>
        <w:rPr>
          <w:rFonts w:ascii="Arial" w:cs="Arial" w:eastAsia="Arial" w:hAnsi="Arial"/>
          <w:color w:val="404040"/>
          <w:sz w:val="22"/>
          <w:szCs w:val="22"/>
        </w:rPr>
        <w:t xml:space="preserve">Milestone 1 is not complete until all of the following tests pass:</w:t>
      </w:r>
    </w:p>
    <w:p>
      <w:pPr>
        <w:spacing w:before="80" w:after="0"/>
      </w:pPr>
      <w:r>
        <w:t xml:space="preserve"/>
      </w:r>
    </w:p>
    <w:p>
      <w:pPr>
        <w:pStyle w:val="ListParagraph"/>
        <w:numPr>
          <w:ilvl w:val="0"/>
          <w:numId w:val="3"/>
        </w:numPr>
        <w:spacing w:before="40" w:after="40"/>
      </w:pPr>
      <w:r>
        <w:rPr>
          <w:rFonts w:ascii="Arial" w:cs="Arial" w:eastAsia="Arial" w:hAnsi="Arial"/>
          <w:color w:val="404040"/>
          <w:sz w:val="22"/>
          <w:szCs w:val="22"/>
        </w:rPr>
        <w:t xml:space="preserve">Round-trip test: GenerateIdentityKeyPair → Sign IdentityRecord → Verify IdentityRecord succeeds.</w:t>
      </w:r>
    </w:p>
    <w:p>
      <w:pPr>
        <w:pStyle w:val="ListParagraph"/>
        <w:numPr>
          <w:ilvl w:val="0"/>
          <w:numId w:val="3"/>
        </w:numPr>
        <w:spacing w:before="40" w:after="40"/>
      </w:pPr>
      <w:r>
        <w:rPr>
          <w:rFonts w:ascii="Arial" w:cs="Arial" w:eastAsia="Arial" w:hAnsi="Arial"/>
          <w:color w:val="404040"/>
          <w:sz w:val="22"/>
          <w:szCs w:val="22"/>
        </w:rPr>
        <w:t xml:space="preserve">Tamper test: mutating any field of a signed IdentityRecord causes Verify to return an error.</w:t>
      </w:r>
    </w:p>
    <w:p>
      <w:pPr>
        <w:pStyle w:val="ListParagraph"/>
        <w:numPr>
          <w:ilvl w:val="0"/>
          <w:numId w:val="3"/>
        </w:numPr>
        <w:spacing w:before="40" w:after="40"/>
      </w:pPr>
      <w:r>
        <w:rPr>
          <w:rFonts w:ascii="Arial" w:cs="Arial" w:eastAsia="Arial" w:hAnsi="Arial"/>
          <w:color w:val="404040"/>
          <w:sz w:val="22"/>
          <w:szCs w:val="22"/>
        </w:rPr>
        <w:t xml:space="preserve">Round-trip test: compose PlaintextMessage → Sign → Encrypt to one recipient → Decrypt → Verify signature succeeds, plaintext matches.</w:t>
      </w:r>
    </w:p>
    <w:p>
      <w:pPr>
        <w:pStyle w:val="ListParagraph"/>
        <w:numPr>
          <w:ilvl w:val="0"/>
          <w:numId w:val="3"/>
        </w:numPr>
        <w:spacing w:before="40" w:after="40"/>
      </w:pPr>
      <w:r>
        <w:rPr>
          <w:rFonts w:ascii="Arial" w:cs="Arial" w:eastAsia="Arial" w:hAnsi="Arial"/>
          <w:color w:val="404040"/>
          <w:sz w:val="22"/>
          <w:szCs w:val="22"/>
        </w:rPr>
        <w:t xml:space="preserve">Multi-device test: Encrypt to three recipients → each can independently Decrypt and verify.</w:t>
      </w:r>
    </w:p>
    <w:p>
      <w:pPr>
        <w:pStyle w:val="ListParagraph"/>
        <w:numPr>
          <w:ilvl w:val="0"/>
          <w:numId w:val="3"/>
        </w:numPr>
        <w:spacing w:before="40" w:after="40"/>
      </w:pPr>
      <w:r>
        <w:rPr>
          <w:rFonts w:ascii="Arial" w:cs="Arial" w:eastAsia="Arial" w:hAnsi="Arial"/>
          <w:color w:val="404040"/>
          <w:sz w:val="22"/>
          <w:szCs w:val="22"/>
        </w:rPr>
        <w:t xml:space="preserve">Wrong key test: Decrypt with a key not in Recipients returns a typed error, not a panic.</w:t>
      </w:r>
    </w:p>
    <w:p>
      <w:pPr>
        <w:pStyle w:val="ListParagraph"/>
        <w:numPr>
          <w:ilvl w:val="0"/>
          <w:numId w:val="3"/>
        </w:numPr>
        <w:spacing w:before="40" w:after="40"/>
      </w:pPr>
      <w:r>
        <w:rPr>
          <w:rFonts w:ascii="Arial" w:cs="Arial" w:eastAsia="Arial" w:hAnsi="Arial"/>
          <w:color w:val="404040"/>
          <w:sz w:val="22"/>
          <w:szCs w:val="22"/>
        </w:rPr>
        <w:t xml:space="preserve">Tamper test: mutating EncryptedPayload causes Decrypt to return an authentication error.</w:t>
      </w:r>
    </w:p>
    <w:p>
      <w:pPr>
        <w:pStyle w:val="ListParagraph"/>
        <w:numPr>
          <w:ilvl w:val="0"/>
          <w:numId w:val="3"/>
        </w:numPr>
        <w:spacing w:before="40" w:after="40"/>
      </w:pPr>
      <w:r>
        <w:rPr>
          <w:rFonts w:ascii="Arial" w:cs="Arial" w:eastAsia="Arial" w:hAnsi="Arial"/>
          <w:color w:val="404040"/>
          <w:sz w:val="22"/>
          <w:szCs w:val="22"/>
        </w:rPr>
        <w:t xml:space="preserve">RatchetPubKey test: serialise and deserialise an EncryptedEnvelope and confirm RatchetPubKey is present as 32 zero bytes.</w:t>
      </w:r>
    </w:p>
    <w:p>
      <w:pPr>
        <w:pStyle w:val="ListParagraph"/>
        <w:numPr>
          <w:ilvl w:val="0"/>
          <w:numId w:val="3"/>
        </w:numPr>
        <w:spacing w:before="40" w:after="40"/>
      </w:pPr>
      <w:r>
        <w:rPr>
          <w:rFonts w:ascii="Arial" w:cs="Arial" w:eastAsia="Arial" w:hAnsi="Arial"/>
          <w:color w:val="404040"/>
          <w:sz w:val="22"/>
          <w:szCs w:val="22"/>
        </w:rPr>
        <w:t xml:space="preserve">Fingerprint test: Fingerprint() returns a 40-character uppercase hex string; two different key pairs produce different fingerprints.</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Coverage target:  </w:t>
      </w:r>
      <w:r>
        <w:rPr>
          <w:rFonts w:ascii="Arial" w:cs="Arial" w:eastAsia="Arial" w:hAnsi="Arial"/>
          <w:i/>
          <w:iCs/>
          <w:color w:val="404040"/>
          <w:sz w:val="20"/>
          <w:szCs w:val="20"/>
        </w:rPr>
        <w:t xml:space="preserve">internal/core/crypto, internal/core/identity, and internal/core/message must each reach 90% line coverage. Use go test -cover to measure.</w:t>
      </w:r>
    </w:p>
    <w:p>
      <w:pPr>
        <w:pStyle w:val="Heading1"/>
        <w:pBdr>
          <w:bottom w:val="single" w:color="2E75B6" w:sz="6" w:space="4"/>
        </w:pBdr>
        <w:spacing w:before="480" w:after="160"/>
      </w:pPr>
      <w:r>
        <w:rPr>
          <w:rFonts w:ascii="Arial" w:cs="Arial" w:eastAsia="Arial" w:hAnsi="Arial"/>
          <w:b/>
          <w:bCs/>
          <w:color w:val="1F4E79"/>
          <w:sz w:val="32"/>
          <w:szCs w:val="32"/>
        </w:rPr>
        <w:t xml:space="preserve">5. Milestone 2 — Node and Registry</w:t>
      </w:r>
    </w:p>
    <w:p>
      <w:pPr>
        <w:spacing w:before="60" w:after="80"/>
        <w:jc w:val="left"/>
      </w:pPr>
      <w:r>
        <w:rPr>
          <w:rFonts w:ascii="Arial" w:cs="Arial" w:eastAsia="Arial" w:hAnsi="Arial"/>
          <w:color w:val="404040"/>
          <w:sz w:val="22"/>
          <w:szCs w:val="22"/>
        </w:rPr>
        <w:t xml:space="preserve">Milestone 2 introduces the network layer. The goal is a single binary (dmcn-node) that can register an identity to a local DHT instance and exchange a signed, encrypted message with another running instance of itself. Onion routing is explicitly excluded at this stage — messages are delivered directly between nodes.</w:t>
      </w:r>
    </w:p>
    <w:p>
      <w:pPr>
        <w:pStyle w:val="Heading2"/>
        <w:spacing w:before="320" w:after="120"/>
      </w:pPr>
      <w:r>
        <w:rPr>
          <w:rFonts w:ascii="Arial" w:cs="Arial" w:eastAsia="Arial" w:hAnsi="Arial"/>
          <w:b/>
          <w:bCs/>
          <w:color w:val="2E75B6"/>
          <w:sz w:val="26"/>
          <w:szCs w:val="26"/>
        </w:rPr>
        <w:t xml:space="preserve">5.1 DHT and Identity Registry (internal/registry)</w:t>
      </w:r>
    </w:p>
    <w:p>
      <w:pPr>
        <w:spacing w:before="60" w:after="80"/>
        <w:jc w:val="left"/>
      </w:pPr>
      <w:r>
        <w:rPr>
          <w:rFonts w:ascii="Arial" w:cs="Arial" w:eastAsia="Arial" w:hAnsi="Arial"/>
          <w:color w:val="404040"/>
          <w:sz w:val="22"/>
          <w:szCs w:val="22"/>
        </w:rPr>
        <w:t xml:space="preserve">Use libp2p (github.com/libp2p/go-libp2p) as the DHT foundation rather than implementing Kademlia from scratch. libp2p provides production-grade DHT infrastructure used by IPFS and Ethereum, and allows the PoC to focus on DMCN-specific protocol logic rather than DHT plumbing.</w:t>
      </w:r>
    </w:p>
    <w:p>
      <w:pPr>
        <w:spacing w:before="80" w:after="0"/>
      </w:pPr>
      <w:r>
        <w:t xml:space="preserve"/>
      </w:r>
    </w:p>
    <w:p>
      <w:pPr>
        <w:spacing w:before="60" w:after="80"/>
        <w:jc w:val="left"/>
      </w:pPr>
      <w:r>
        <w:rPr>
          <w:rFonts w:ascii="Arial" w:cs="Arial" w:eastAsia="Arial" w:hAnsi="Arial"/>
          <w:color w:val="404040"/>
          <w:sz w:val="22"/>
          <w:szCs w:val="22"/>
        </w:rPr>
        <w:t xml:space="preserve">The registry package wraps libp2p and exposes the four operations defined in whitepaper Section 15.2.4:</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7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REGISTER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Store a signed IdentityRecord in the DHT, keyed on SHA-256(address). Validates SelfSignature before storing. Idempotent.</w:t>
            </w:r>
          </w:p>
        </w:tc>
      </w:tr>
      <w:tr>
        <w:tc>
          <w:tcPr>
            <w:tcW w:type="dxa" w:w="18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LOOKUP</w:t>
            </w:r>
          </w:p>
        </w:tc>
        <w:tc>
          <w:tcPr>
            <w:tcW w:type="dxa" w:w="7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Retrieve an IdentityRecord by exact address string. Returns not-found if absent. Validates SelfSignature on retrieval.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REVOKE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Mark an identity as revoked. Revocation is permanent; revoked keys cannot be re-registered.</w:t>
            </w:r>
          </w:p>
        </w:tc>
      </w:tr>
      <w:tr>
        <w:tc>
          <w:tcPr>
            <w:tcW w:type="dxa" w:w="18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UPDATE</w:t>
            </w:r>
          </w:p>
        </w:tc>
        <w:tc>
          <w:tcPr>
            <w:tcW w:type="dxa" w:w="7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Replace an IdentityRecord with a new one. The new record must be signed by both the old and new private keys to prove continuity of control.</w:t>
            </w:r>
          </w:p>
        </w:tc>
      </w:tr>
    </w:tbl>
    <w:p>
      <w:pPr>
        <w:spacing w:before="12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Scope note:  </w:t>
      </w:r>
      <w:r>
        <w:rPr>
          <w:rFonts w:ascii="Arial" w:cs="Arial" w:eastAsia="Arial" w:hAnsi="Arial"/>
          <w:i/>
          <w:iCs/>
          <w:color w:val="404040"/>
          <w:sz w:val="20"/>
          <w:szCs w:val="20"/>
        </w:rPr>
        <w:t xml:space="preserve">For the PoC, the DHT can be operated as a local in-process instance or a small cluster of two or three nodes on localhost. Global DHT deployment is a post-PoC concern.</w:t>
      </w:r>
    </w:p>
    <w:p>
      <w:pPr>
        <w:pStyle w:val="Heading2"/>
        <w:spacing w:before="320" w:after="120"/>
      </w:pPr>
      <w:r>
        <w:rPr>
          <w:rFonts w:ascii="Arial" w:cs="Arial" w:eastAsia="Arial" w:hAnsi="Arial"/>
          <w:b/>
          <w:bCs/>
          <w:color w:val="2E75B6"/>
          <w:sz w:val="26"/>
          <w:szCs w:val="26"/>
        </w:rPr>
        <w:t xml:space="preserve">5.2 Relay Node (internal/relay)</w:t>
      </w:r>
    </w:p>
    <w:p>
      <w:pPr>
        <w:spacing w:before="60" w:after="80"/>
        <w:jc w:val="left"/>
      </w:pPr>
      <w:r>
        <w:rPr>
          <w:rFonts w:ascii="Arial" w:cs="Arial" w:eastAsia="Arial" w:hAnsi="Arial"/>
          <w:color w:val="404040"/>
          <w:sz w:val="22"/>
          <w:szCs w:val="22"/>
        </w:rPr>
        <w:t xml:space="preserve">Implement a minimal relay node that can receive, verify, store, and forward EncryptedEnvelopes. At this stage, direct delivery is used — the full onion routing transport from Section 15.4 is deferred to a later milestone.</w:t>
      </w:r>
    </w:p>
    <w:p>
      <w:pPr>
        <w:spacing w:before="80" w:after="0"/>
      </w:pPr>
      <w:r>
        <w:t xml:space="preserve"/>
      </w:r>
    </w:p>
    <w:p>
      <w:pPr>
        <w:spacing w:before="60" w:after="80"/>
        <w:jc w:val="left"/>
      </w:pPr>
      <w:r>
        <w:rPr>
          <w:rFonts w:ascii="Arial" w:cs="Arial" w:eastAsia="Arial" w:hAnsi="Arial"/>
          <w:color w:val="404040"/>
          <w:sz w:val="22"/>
          <w:szCs w:val="22"/>
        </w:rPr>
        <w:t xml:space="preserve">The relay node must implement the following operations over TLS 1.3 connections: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7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Receive an EncryptedEnvelope. Verify the sender's identity exists in the registry. Store the envelope indexed by recipient public key. Reject envelopes from unregistered senders.</w:t>
            </w:r>
          </w:p>
        </w:tc>
      </w:tr>
      <w:tr>
        <w:tc>
          <w:tcPr>
            <w:tcW w:type="dxa" w:w="14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FETCH</w:t>
            </w:r>
          </w:p>
        </w:tc>
        <w:tc>
          <w:tcPr>
            <w:tcW w:type="dxa" w:w="79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Recipient authenticates by signing a challenge nonce with their Ed25519 private key. Relay verifies the signature against the registry and returns pending envelopes for that identity.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Recipient confirms successful decryption. Relay marks the envelope as delivered.</w:t>
            </w:r>
          </w:p>
        </w:tc>
      </w:tr>
      <w:tr>
        <w:tc>
          <w:tcPr>
            <w:tcW w:type="dxa" w:w="14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PING</w:t>
            </w:r>
          </w:p>
        </w:tc>
        <w:tc>
          <w:tcPr>
            <w:tcW w:type="dxa" w:w="79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Liveness check. Returns node metadata: version, capacity, uptime.</w:t>
            </w:r>
          </w:p>
        </w:tc>
      </w:tr>
    </w:tbl>
    <w:p>
      <w:pPr>
        <w:spacing w:before="120" w:after="0"/>
      </w:pPr>
      <w:r>
        <w:t xml:space="preserve"/>
      </w:r>
    </w:p>
    <w:p>
      <w:pPr>
        <w:spacing w:before="60" w:after="80"/>
        <w:jc w:val="left"/>
      </w:pPr>
      <w:r>
        <w:rPr>
          <w:rFonts w:ascii="Arial" w:cs="Arial" w:eastAsia="Arial" w:hAnsi="Arial"/>
          <w:color w:val="404040"/>
          <w:sz w:val="22"/>
          <w:szCs w:val="22"/>
        </w:rPr>
        <w:t xml:space="preserve">The relay node must enforce: sender identity must be registered in the DHT before a STORE is accepted. An envelope from an unregistered sender is dropped with a typed error response — this is the mechanism by which spam is rejected at the network boundary.</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Rate limiting:  </w:t>
      </w:r>
      <w:r>
        <w:rPr>
          <w:rFonts w:ascii="Arial" w:cs="Arial" w:eastAsia="Arial" w:hAnsi="Arial"/>
          <w:i/>
          <w:iCs/>
          <w:color w:val="404040"/>
          <w:sz w:val="20"/>
          <w:szCs w:val="20"/>
        </w:rPr>
        <w:t xml:space="preserve">Implement basic per-sender rate limiting in the PoC: maximum 100 STORE operations per hour per registered identity. This is intentionally conservative; production limits are defined in Section 15.4.3 of the whitepaper.</w:t>
      </w:r>
    </w:p>
    <w:p>
      <w:pPr>
        <w:pStyle w:val="Heading2"/>
        <w:spacing w:before="320" w:after="120"/>
      </w:pPr>
      <w:r>
        <w:rPr>
          <w:rFonts w:ascii="Arial" w:cs="Arial" w:eastAsia="Arial" w:hAnsi="Arial"/>
          <w:b/>
          <w:bCs/>
          <w:color w:val="2E75B6"/>
          <w:sz w:val="26"/>
          <w:szCs w:val="26"/>
        </w:rPr>
        <w:t xml:space="preserve">5.3 The dmcn-node Binary</w:t>
      </w:r>
    </w:p>
    <w:p>
      <w:pPr>
        <w:spacing w:before="60" w:after="80"/>
        <w:jc w:val="left"/>
      </w:pPr>
      <w:r>
        <w:rPr>
          <w:rFonts w:ascii="Arial" w:cs="Arial" w:eastAsia="Arial" w:hAnsi="Arial"/>
          <w:color w:val="404040"/>
          <w:sz w:val="22"/>
          <w:szCs w:val="22"/>
        </w:rPr>
        <w:t xml:space="preserve">The dmcn-node binary is a combined development node that runs a DHT registry node and a relay node in a single process. It is not a production architecture — it exists to make end-to-end testing possible without running multiple separate services.</w:t>
      </w:r>
    </w:p>
    <w:p>
      <w:pPr>
        <w:spacing w:before="80" w:after="0"/>
      </w:pPr>
      <w:r>
        <w:t xml:space="preserve"/>
      </w:r>
    </w:p>
    <w:p>
      <w:pPr>
        <w:spacing w:before="60" w:after="80"/>
        <w:jc w:val="left"/>
      </w:pPr>
      <w:r>
        <w:rPr>
          <w:rFonts w:ascii="Arial" w:cs="Arial" w:eastAsia="Arial" w:hAnsi="Arial"/>
          <w:color w:val="404040"/>
          <w:sz w:val="22"/>
          <w:szCs w:val="22"/>
        </w:rPr>
        <w:t xml:space="preserve">The binary exposes a minimal CLI for development use:</w:t>
      </w:r>
    </w:p>
    <w:p>
      <w:pPr>
        <w:spacing w:before="60" w:after="0"/>
      </w:pPr>
      <w:r>
        <w:t xml:space="preserve"/>
      </w:r>
    </w:p>
    <w:p>
      <w:pPr>
        <w:shd w:fill="F2F2F2" w:val="clear"/>
        <w:spacing w:before="40" w:after="40"/>
        <w:ind w:left="360"/>
      </w:pPr>
      <w:r>
        <w:rPr>
          <w:rFonts w:ascii="Courier New" w:cs="Courier New" w:eastAsia="Courier New" w:hAnsi="Courier New"/>
          <w:color w:val="404040"/>
          <w:sz w:val="18"/>
          <w:szCs w:val="18"/>
        </w:rPr>
        <w:t xml:space="preserve">dmcn-node start --listen 0.0.0.0:7400 --dht-port 7401</w:t>
      </w:r>
    </w:p>
    <w:p>
      <w:pPr>
        <w:shd w:fill="F2F2F2" w:val="clear"/>
        <w:spacing w:before="40" w:after="40"/>
        <w:ind w:left="360"/>
      </w:pPr>
      <w:r>
        <w:rPr>
          <w:rFonts w:ascii="Courier New" w:cs="Courier New" w:eastAsia="Courier New" w:hAnsi="Courier New"/>
          <w:color w:val="404040"/>
          <w:sz w:val="18"/>
          <w:szCs w:val="18"/>
        </w:rPr>
        <w:t xml:space="preserve">dmcn-node identity generate --address alice@localhost</w:t>
      </w:r>
    </w:p>
    <w:p>
      <w:pPr>
        <w:shd w:fill="F2F2F2" w:val="clear"/>
        <w:spacing w:before="40" w:after="40"/>
        <w:ind w:left="360"/>
      </w:pPr>
      <w:r>
        <w:rPr>
          <w:rFonts w:ascii="Courier New" w:cs="Courier New" w:eastAsia="Courier New" w:hAnsi="Courier New"/>
          <w:color w:val="404040"/>
          <w:sz w:val="18"/>
          <w:szCs w:val="18"/>
        </w:rPr>
        <w:t xml:space="preserve">dmcn-node identity register --address alice@localhost</w:t>
      </w:r>
    </w:p>
    <w:p>
      <w:pPr>
        <w:shd w:fill="F2F2F2" w:val="clear"/>
        <w:spacing w:before="40" w:after="40"/>
        <w:ind w:left="360"/>
      </w:pPr>
      <w:r>
        <w:rPr>
          <w:rFonts w:ascii="Courier New" w:cs="Courier New" w:eastAsia="Courier New" w:hAnsi="Courier New"/>
          <w:color w:val="404040"/>
          <w:sz w:val="18"/>
          <w:szCs w:val="18"/>
        </w:rPr>
        <w:t xml:space="preserve">dmcn-node identity lookup --address bob@localhost</w:t>
      </w:r>
    </w:p>
    <w:p>
      <w:pPr>
        <w:shd w:fill="F2F2F2" w:val="clear"/>
        <w:spacing w:before="40" w:after="40"/>
        <w:ind w:left="360"/>
      </w:pPr>
      <w:r>
        <w:rPr>
          <w:rFonts w:ascii="Courier New" w:cs="Courier New" w:eastAsia="Courier New" w:hAnsi="Courier New"/>
          <w:color w:val="404040"/>
          <w:sz w:val="18"/>
          <w:szCs w:val="18"/>
        </w:rPr>
        <w:t xml:space="preserve">dmcn-node message send --from alice@localhost --to bob@localhost --body "hello"</w:t>
      </w:r>
    </w:p>
    <w:p>
      <w:pPr>
        <w:shd w:fill="F2F2F2" w:val="clear"/>
        <w:spacing w:before="40" w:after="40"/>
        <w:ind w:left="360"/>
      </w:pPr>
      <w:r>
        <w:rPr>
          <w:rFonts w:ascii="Courier New" w:cs="Courier New" w:eastAsia="Courier New" w:hAnsi="Courier New"/>
          <w:color w:val="404040"/>
          <w:sz w:val="18"/>
          <w:szCs w:val="18"/>
        </w:rPr>
        <w:t xml:space="preserve">dmcn-node message fetch --address alice@localhost</w:t>
      </w:r>
    </w:p>
    <w:p>
      <w:pPr>
        <w:spacing w:before="80" w:after="0"/>
      </w:pPr>
      <w:r>
        <w:t xml:space="preserve"/>
      </w:r>
    </w:p>
    <w:p>
      <w:pPr>
        <w:spacing w:before="60" w:after="80"/>
        <w:jc w:val="left"/>
      </w:pPr>
      <w:r>
        <w:rPr>
          <w:rFonts w:ascii="Arial" w:cs="Arial" w:eastAsia="Arial" w:hAnsi="Arial"/>
          <w:color w:val="404040"/>
          <w:sz w:val="22"/>
          <w:szCs w:val="22"/>
        </w:rPr>
        <w:t xml:space="preserve">Identity key material is stored on disk in an encrypted keystore file, protected by a passphrase supplied at startup. The keystore format is documented and versioned.</w:t>
      </w:r>
    </w:p>
    <w:p>
      <w:pPr>
        <w:pStyle w:val="Heading2"/>
        <w:spacing w:before="320" w:after="120"/>
      </w:pPr>
      <w:r>
        <w:rPr>
          <w:rFonts w:ascii="Arial" w:cs="Arial" w:eastAsia="Arial" w:hAnsi="Arial"/>
          <w:b/>
          <w:bCs/>
          <w:color w:val="2E75B6"/>
          <w:sz w:val="26"/>
          <w:szCs w:val="26"/>
        </w:rPr>
        <w:t xml:space="preserve">5.4 End-to-End Test Scenario</w:t>
      </w:r>
    </w:p>
    <w:p>
      <w:pPr>
        <w:spacing w:before="60" w:after="80"/>
        <w:jc w:val="left"/>
      </w:pPr>
      <w:r>
        <w:rPr>
          <w:rFonts w:ascii="Arial" w:cs="Arial" w:eastAsia="Arial" w:hAnsi="Arial"/>
          <w:color w:val="404040"/>
          <w:sz w:val="22"/>
          <w:szCs w:val="22"/>
        </w:rPr>
        <w:t xml:space="preserve">Milestone 2 is complete when the following scenario executes successfully in an automated integration test:</w:t>
      </w:r>
    </w:p>
    <w:p>
      <w:pPr>
        <w:spacing w:before="80" w:after="0"/>
      </w:pPr>
      <w:r>
        <w:t xml:space="preserve"/>
      </w:r>
    </w:p>
    <w:p>
      <w:pPr>
        <w:pStyle w:val="ListParagraph"/>
        <w:numPr>
          <w:ilvl w:val="0"/>
          <w:numId w:val="3"/>
        </w:numPr>
        <w:spacing w:before="40" w:after="40"/>
      </w:pPr>
      <w:r>
        <w:rPr>
          <w:rFonts w:ascii="Arial" w:cs="Arial" w:eastAsia="Arial" w:hAnsi="Arial"/>
          <w:color w:val="404040"/>
          <w:sz w:val="22"/>
          <w:szCs w:val="22"/>
        </w:rPr>
        <w:t xml:space="preserve">Start two dmcn-node instances (node-A on port 7400, node-B on port 7402) sharing a local DHT.</w:t>
      </w:r>
    </w:p>
    <w:p>
      <w:pPr>
        <w:pStyle w:val="ListParagraph"/>
        <w:numPr>
          <w:ilvl w:val="0"/>
          <w:numId w:val="3"/>
        </w:numPr>
        <w:spacing w:before="40" w:after="40"/>
      </w:pPr>
      <w:r>
        <w:rPr>
          <w:rFonts w:ascii="Arial" w:cs="Arial" w:eastAsia="Arial" w:hAnsi="Arial"/>
          <w:color w:val="404040"/>
          <w:sz w:val="22"/>
          <w:szCs w:val="22"/>
        </w:rPr>
        <w:t xml:space="preserve">Generate identity alice@localhost on node-A. Register it.</w:t>
      </w:r>
    </w:p>
    <w:p>
      <w:pPr>
        <w:pStyle w:val="ListParagraph"/>
        <w:numPr>
          <w:ilvl w:val="0"/>
          <w:numId w:val="3"/>
        </w:numPr>
        <w:spacing w:before="40" w:after="40"/>
      </w:pPr>
      <w:r>
        <w:rPr>
          <w:rFonts w:ascii="Arial" w:cs="Arial" w:eastAsia="Arial" w:hAnsi="Arial"/>
          <w:color w:val="404040"/>
          <w:sz w:val="22"/>
          <w:szCs w:val="22"/>
        </w:rPr>
        <w:t xml:space="preserve">Generate identity bob@localhost on node-B. Register it.</w:t>
      </w:r>
    </w:p>
    <w:p>
      <w:pPr>
        <w:pStyle w:val="ListParagraph"/>
        <w:numPr>
          <w:ilvl w:val="0"/>
          <w:numId w:val="3"/>
        </w:numPr>
        <w:spacing w:before="40" w:after="40"/>
      </w:pPr>
      <w:r>
        <w:rPr>
          <w:rFonts w:ascii="Arial" w:cs="Arial" w:eastAsia="Arial" w:hAnsi="Arial"/>
          <w:color w:val="404040"/>
          <w:sz w:val="22"/>
          <w:szCs w:val="22"/>
        </w:rPr>
        <w:t xml:space="preserve">node-A looks up bob@localhost and retrieves his IdentityRecord. Signature validates.</w:t>
      </w:r>
    </w:p>
    <w:p>
      <w:pPr>
        <w:pStyle w:val="ListParagraph"/>
        <w:numPr>
          <w:ilvl w:val="0"/>
          <w:numId w:val="3"/>
        </w:numPr>
        <w:spacing w:before="40" w:after="40"/>
      </w:pPr>
      <w:r>
        <w:rPr>
          <w:rFonts w:ascii="Arial" w:cs="Arial" w:eastAsia="Arial" w:hAnsi="Arial"/>
          <w:color w:val="404040"/>
          <w:sz w:val="22"/>
          <w:szCs w:val="22"/>
        </w:rPr>
        <w:t xml:space="preserve">node-A composes a PlaintextMessage, signs it, encrypts it to bob's X25519 public key, and STOREs it on node-B's relay.</w:t>
      </w:r>
    </w:p>
    <w:p>
      <w:pPr>
        <w:pStyle w:val="ListParagraph"/>
        <w:numPr>
          <w:ilvl w:val="0"/>
          <w:numId w:val="3"/>
        </w:numPr>
        <w:spacing w:before="40" w:after="40"/>
      </w:pPr>
      <w:r>
        <w:rPr>
          <w:rFonts w:ascii="Arial" w:cs="Arial" w:eastAsia="Arial" w:hAnsi="Arial"/>
          <w:color w:val="404040"/>
          <w:sz w:val="22"/>
          <w:szCs w:val="22"/>
        </w:rPr>
        <w:t xml:space="preserve">node-B authenticates and FETCHes its pending envelopes. Decrypts the envelope. Verifies the sender signature. Plaintext matches original.</w:t>
      </w:r>
    </w:p>
    <w:p>
      <w:pPr>
        <w:pStyle w:val="ListParagraph"/>
        <w:numPr>
          <w:ilvl w:val="0"/>
          <w:numId w:val="3"/>
        </w:numPr>
        <w:spacing w:before="40" w:after="40"/>
      </w:pPr>
      <w:r>
        <w:rPr>
          <w:rFonts w:ascii="Arial" w:cs="Arial" w:eastAsia="Arial" w:hAnsi="Arial"/>
          <w:color w:val="404040"/>
          <w:sz w:val="22"/>
          <w:szCs w:val="22"/>
        </w:rPr>
        <w:t xml:space="preserve">node-B sends ACK. node-A confirms delivery.</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Rejection test:  </w:t>
      </w:r>
      <w:r>
        <w:rPr>
          <w:rFonts w:ascii="Arial" w:cs="Arial" w:eastAsia="Arial" w:hAnsi="Arial"/>
          <w:i/>
          <w:iCs/>
          <w:color w:val="404040"/>
          <w:sz w:val="20"/>
          <w:szCs w:val="20"/>
        </w:rPr>
        <w:t xml:space="preserve">An additional test must confirm that a STORE from an unregistered identity is rejected by the relay node before the envelope enters storage.</w:t>
      </w:r>
    </w:p>
    <w:p>
      <w:pPr>
        <w:pStyle w:val="Heading1"/>
        <w:pBdr>
          <w:bottom w:val="single" w:color="2E75B6" w:sz="6" w:space="4"/>
        </w:pBdr>
        <w:spacing w:before="480" w:after="160"/>
      </w:pPr>
      <w:r>
        <w:rPr>
          <w:rFonts w:ascii="Arial" w:cs="Arial" w:eastAsia="Arial" w:hAnsi="Arial"/>
          <w:b/>
          <w:bCs/>
          <w:color w:val="1F4E79"/>
          <w:sz w:val="32"/>
          <w:szCs w:val="32"/>
        </w:rPr>
        <w:t xml:space="preserve">6. Milestone 3 — Bridge Node</w:t>
      </w:r>
    </w:p>
    <w:p>
      <w:pPr>
        <w:spacing w:before="60" w:after="80"/>
        <w:jc w:val="left"/>
      </w:pPr>
      <w:r>
        <w:rPr>
          <w:rFonts w:ascii="Arial" w:cs="Arial" w:eastAsia="Arial" w:hAnsi="Arial"/>
          <w:color w:val="404040"/>
          <w:sz w:val="22"/>
          <w:szCs w:val="22"/>
        </w:rPr>
        <w:t xml:space="preserve">The bridge node is the first component that makes the PoC demonstrable to a non-technical audience: it allows a legacy email client (Gmail, Outlook, Apple Mail) to send a message that arrives in a DMCN inbox, and allows a DMCN user to reply to a legacy email address. This milestone produces the dmcn-bridge binary.</w:t>
      </w:r>
    </w:p>
    <w:p>
      <w:pPr>
        <w:pStyle w:val="Heading2"/>
        <w:spacing w:before="320" w:after="120"/>
      </w:pPr>
      <w:r>
        <w:rPr>
          <w:rFonts w:ascii="Arial" w:cs="Arial" w:eastAsia="Arial" w:hAnsi="Arial"/>
          <w:b/>
          <w:bCs/>
          <w:color w:val="2E75B6"/>
          <w:sz w:val="26"/>
          <w:szCs w:val="26"/>
        </w:rPr>
        <w:t xml:space="preserve">6.1 Inbound Path (SMTP to DMCN)</w:t>
      </w:r>
    </w:p>
    <w:p>
      <w:pPr>
        <w:spacing w:before="60" w:after="80"/>
        <w:jc w:val="left"/>
      </w:pPr>
      <w:r>
        <w:rPr>
          <w:rFonts w:ascii="Arial" w:cs="Arial" w:eastAsia="Arial" w:hAnsi="Arial"/>
          <w:color w:val="404040"/>
          <w:sz w:val="22"/>
          <w:szCs w:val="22"/>
        </w:rPr>
        <w:t xml:space="preserve">The bridge runs an SMTP listener that receives messages from legacy senders addressed to the DMCN user's bridge address (e.g. alice@bridge.localhost in development).</w:t>
      </w:r>
    </w:p>
    <w:p>
      <w:pPr>
        <w:spacing w:before="80" w:after="0"/>
      </w:pPr>
      <w:r>
        <w:t xml:space="preserve"/>
      </w:r>
    </w:p>
    <w:p>
      <w:pPr>
        <w:spacing w:before="60" w:after="80"/>
        <w:jc w:val="left"/>
      </w:pPr>
      <w:r>
        <w:rPr>
          <w:rFonts w:ascii="Arial" w:cs="Arial" w:eastAsia="Arial" w:hAnsi="Arial"/>
          <w:color w:val="404040"/>
          <w:sz w:val="22"/>
          <w:szCs w:val="22"/>
        </w:rPr>
        <w:t xml:space="preserve">For each inbound SMTP message:</w:t>
      </w:r>
    </w:p>
    <w:p>
      <w:pPr>
        <w:pStyle w:val="ListParagraph"/>
        <w:numPr>
          <w:ilvl w:val="0"/>
          <w:numId w:val="3"/>
        </w:numPr>
        <w:spacing w:before="40" w:after="40"/>
      </w:pPr>
      <w:r>
        <w:rPr>
          <w:rFonts w:ascii="Arial" w:cs="Arial" w:eastAsia="Arial" w:hAnsi="Arial"/>
          <w:color w:val="404040"/>
          <w:sz w:val="22"/>
          <w:szCs w:val="22"/>
        </w:rPr>
        <w:t xml:space="preserve">Perform SPF, DKIM, and DMARC verification on the inbound message.</w:t>
      </w:r>
    </w:p>
    <w:p>
      <w:pPr>
        <w:pStyle w:val="ListParagraph"/>
        <w:numPr>
          <w:ilvl w:val="0"/>
          <w:numId w:val="3"/>
        </w:numPr>
        <w:spacing w:before="40" w:after="40"/>
      </w:pPr>
      <w:r>
        <w:rPr>
          <w:rFonts w:ascii="Arial" w:cs="Arial" w:eastAsia="Arial" w:hAnsi="Arial"/>
          <w:color w:val="404040"/>
          <w:sz w:val="22"/>
          <w:szCs w:val="22"/>
        </w:rPr>
        <w:t xml:space="preserve">Classify the sender into a trust tier: Verified Legacy (valid DKIM + pass), Unverified Legacy (no DKIM or neutral), Suspicious (failures or reputation flags).</w:t>
      </w:r>
    </w:p>
    <w:p>
      <w:pPr>
        <w:pStyle w:val="ListParagraph"/>
        <w:numPr>
          <w:ilvl w:val="0"/>
          <w:numId w:val="3"/>
        </w:numPr>
        <w:spacing w:before="40" w:after="40"/>
      </w:pPr>
      <w:r>
        <w:rPr>
          <w:rFonts w:ascii="Arial" w:cs="Arial" w:eastAsia="Arial" w:hAnsi="Arial"/>
          <w:color w:val="404040"/>
          <w:sz w:val="22"/>
          <w:szCs w:val="22"/>
        </w:rPr>
        <w:t xml:space="preserve">Construct a BridgeClassificationRecord (signed by the bridge's own Ed25519 key) attesting to the classification outcome. This corresponds to the bridge_classification_record structure in whitepaper Section 15.6.2.</w:t>
      </w:r>
    </w:p>
    <w:p>
      <w:pPr>
        <w:pStyle w:val="ListParagraph"/>
        <w:numPr>
          <w:ilvl w:val="0"/>
          <w:numId w:val="3"/>
        </w:numPr>
        <w:spacing w:before="40" w:after="40"/>
      </w:pPr>
      <w:r>
        <w:rPr>
          <w:rFonts w:ascii="Arial" w:cs="Arial" w:eastAsia="Arial" w:hAnsi="Arial"/>
          <w:color w:val="404040"/>
          <w:sz w:val="22"/>
          <w:szCs w:val="22"/>
        </w:rPr>
        <w:t xml:space="preserve">Look up the DMCN recipient's IdentityRecord from the registry.</w:t>
      </w:r>
    </w:p>
    <w:p>
      <w:pPr>
        <w:pStyle w:val="ListParagraph"/>
        <w:numPr>
          <w:ilvl w:val="0"/>
          <w:numId w:val="3"/>
        </w:numPr>
        <w:spacing w:before="40" w:after="40"/>
      </w:pPr>
      <w:r>
        <w:rPr>
          <w:rFonts w:ascii="Arial" w:cs="Arial" w:eastAsia="Arial" w:hAnsi="Arial"/>
          <w:color w:val="404040"/>
          <w:sz w:val="22"/>
          <w:szCs w:val="22"/>
        </w:rPr>
        <w:t xml:space="preserve">Wrap the original message content and classification record in a PlaintextMessage, sign as bridge, encrypt to recipient's public key, and STORE on the recipient's relay node.</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PoC scope:  </w:t>
      </w:r>
      <w:r>
        <w:rPr>
          <w:rFonts w:ascii="Arial" w:cs="Arial" w:eastAsia="Arial" w:hAnsi="Arial"/>
          <w:i/>
          <w:iCs/>
          <w:color w:val="404040"/>
          <w:sz w:val="20"/>
          <w:szCs w:val="20"/>
        </w:rPr>
        <w:t xml:space="preserve">For the PoC, reputation database lookups (RBL/DNSBL) may be stubbed. The classification logic and signed record format must be correctly implemented.</w:t>
      </w:r>
    </w:p>
    <w:p>
      <w:pPr>
        <w:pStyle w:val="Heading2"/>
        <w:spacing w:before="320" w:after="120"/>
      </w:pPr>
      <w:r>
        <w:rPr>
          <w:rFonts w:ascii="Arial" w:cs="Arial" w:eastAsia="Arial" w:hAnsi="Arial"/>
          <w:b/>
          <w:bCs/>
          <w:color w:val="2E75B6"/>
          <w:sz w:val="26"/>
          <w:szCs w:val="26"/>
        </w:rPr>
        <w:t xml:space="preserve">6.2 Outbound Path (DMCN to SMTP)</w:t>
      </w:r>
    </w:p>
    <w:p>
      <w:pPr>
        <w:spacing w:before="60" w:after="80"/>
        <w:jc w:val="left"/>
      </w:pPr>
      <w:r>
        <w:rPr>
          <w:rFonts w:ascii="Arial" w:cs="Arial" w:eastAsia="Arial" w:hAnsi="Arial"/>
          <w:color w:val="404040"/>
          <w:sz w:val="22"/>
          <w:szCs w:val="22"/>
        </w:rPr>
        <w:t xml:space="preserve">When a DMCN user sends to a legacy email address, the encrypted envelope is addressed to the bridge node's public key. The bridge:</w:t>
      </w:r>
    </w:p>
    <w:p>
      <w:pPr>
        <w:spacing w:before="80" w:after="0"/>
      </w:pPr>
      <w:r>
        <w:t xml:space="preserve"/>
      </w:r>
    </w:p>
    <w:p>
      <w:pPr>
        <w:pStyle w:val="ListParagraph"/>
        <w:numPr>
          <w:ilvl w:val="0"/>
          <w:numId w:val="3"/>
        </w:numPr>
        <w:spacing w:before="40" w:after="40"/>
      </w:pPr>
      <w:r>
        <w:rPr>
          <w:rFonts w:ascii="Arial" w:cs="Arial" w:eastAsia="Arial" w:hAnsi="Arial"/>
          <w:color w:val="404040"/>
          <w:sz w:val="22"/>
          <w:szCs w:val="22"/>
        </w:rPr>
        <w:t xml:space="preserve">Receives the EncryptedEnvelope addressed to its own public key.</w:t>
      </w:r>
    </w:p>
    <w:p>
      <w:pPr>
        <w:pStyle w:val="ListParagraph"/>
        <w:numPr>
          <w:ilvl w:val="0"/>
          <w:numId w:val="3"/>
        </w:numPr>
        <w:spacing w:before="40" w:after="40"/>
      </w:pPr>
      <w:r>
        <w:rPr>
          <w:rFonts w:ascii="Arial" w:cs="Arial" w:eastAsia="Arial" w:hAnsi="Arial"/>
          <w:color w:val="404040"/>
          <w:sz w:val="22"/>
          <w:szCs w:val="22"/>
        </w:rPr>
        <w:t xml:space="preserve">Decrypts using its own X25519 private key.</w:t>
      </w:r>
    </w:p>
    <w:p>
      <w:pPr>
        <w:pStyle w:val="ListParagraph"/>
        <w:numPr>
          <w:ilvl w:val="0"/>
          <w:numId w:val="3"/>
        </w:numPr>
        <w:spacing w:before="40" w:after="40"/>
      </w:pPr>
      <w:r>
        <w:rPr>
          <w:rFonts w:ascii="Arial" w:cs="Arial" w:eastAsia="Arial" w:hAnsi="Arial"/>
          <w:color w:val="404040"/>
          <w:sz w:val="22"/>
          <w:szCs w:val="22"/>
        </w:rPr>
        <w:t xml:space="preserve">Verifies the sender's Ed25519 signature against the registry.</w:t>
      </w:r>
    </w:p>
    <w:p>
      <w:pPr>
        <w:pStyle w:val="ListParagraph"/>
        <w:numPr>
          <w:ilvl w:val="0"/>
          <w:numId w:val="3"/>
        </w:numPr>
        <w:spacing w:before="40" w:after="40"/>
      </w:pPr>
      <w:r>
        <w:rPr>
          <w:rFonts w:ascii="Arial" w:cs="Arial" w:eastAsia="Arial" w:hAnsi="Arial"/>
          <w:color w:val="404040"/>
          <w:sz w:val="22"/>
          <w:szCs w:val="22"/>
        </w:rPr>
        <w:t xml:space="preserve">Constructs a standard SMTP message. Sets the From address to a bridge-scoped representation of the sender's DMCN address.</w:t>
      </w:r>
    </w:p>
    <w:p>
      <w:pPr>
        <w:pStyle w:val="ListParagraph"/>
        <w:numPr>
          <w:ilvl w:val="0"/>
          <w:numId w:val="3"/>
        </w:numPr>
        <w:spacing w:before="40" w:after="40"/>
      </w:pPr>
      <w:r>
        <w:rPr>
          <w:rFonts w:ascii="Arial" w:cs="Arial" w:eastAsia="Arial" w:hAnsi="Arial"/>
          <w:color w:val="404040"/>
          <w:sz w:val="22"/>
          <w:szCs w:val="22"/>
        </w:rPr>
        <w:t xml:space="preserve">DKIM-signs the outbound message using the bridge operator's domain key.</w:t>
      </w:r>
    </w:p>
    <w:p>
      <w:pPr>
        <w:pStyle w:val="ListParagraph"/>
        <w:numPr>
          <w:ilvl w:val="0"/>
          <w:numId w:val="3"/>
        </w:numPr>
        <w:spacing w:before="40" w:after="40"/>
      </w:pPr>
      <w:r>
        <w:rPr>
          <w:rFonts w:ascii="Arial" w:cs="Arial" w:eastAsia="Arial" w:hAnsi="Arial"/>
          <w:color w:val="404040"/>
          <w:sz w:val="22"/>
          <w:szCs w:val="22"/>
        </w:rPr>
        <w:t xml:space="preserve">Delivers via SMTP to the recipient's MX.</w:t>
      </w:r>
    </w:p>
    <w:p>
      <w:pPr>
        <w:pStyle w:val="ListParagraph"/>
        <w:numPr>
          <w:ilvl w:val="0"/>
          <w:numId w:val="3"/>
        </w:numPr>
        <w:spacing w:before="40" w:after="40"/>
      </w:pPr>
      <w:r>
        <w:rPr>
          <w:rFonts w:ascii="Arial" w:cs="Arial" w:eastAsia="Arial" w:hAnsi="Arial"/>
          <w:color w:val="404040"/>
          <w:sz w:val="22"/>
          <w:szCs w:val="22"/>
        </w:rPr>
        <w:t xml:space="preserve">Returns a signed BridgeDeliveryReceipt to the DMCN sender.</w:t>
      </w:r>
    </w:p>
    <w:p>
      <w:pPr>
        <w:spacing w:before="80" w:after="0"/>
      </w:pPr>
      <w:r>
        <w:t xml:space="preserve"/>
      </w:r>
    </w:p>
    <w:p>
      <w:pPr>
        <w:pBdr>
          <w:left w:val="single" w:color="2E75B6" w:sz="12" w:space="8"/>
        </w:pBdr>
        <w:spacing w:before="80" w:after="80"/>
        <w:ind w:left="360"/>
      </w:pPr>
      <w:r>
        <w:rPr>
          <w:rFonts w:ascii="Arial" w:cs="Arial" w:eastAsia="Arial" w:hAnsi="Arial"/>
          <w:b/>
          <w:bCs/>
          <w:color w:val="2E75B6"/>
          <w:sz w:val="20"/>
          <w:szCs w:val="20"/>
        </w:rPr>
        <w:t xml:space="preserve">Trust disclosure:  </w:t>
      </w:r>
      <w:r>
        <w:rPr>
          <w:rFonts w:ascii="Arial" w:cs="Arial" w:eastAsia="Arial" w:hAnsi="Arial"/>
          <w:i/>
          <w:iCs/>
          <w:color w:val="404040"/>
          <w:sz w:val="20"/>
          <w:szCs w:val="20"/>
        </w:rPr>
        <w:t xml:space="preserve">The bridge operator has technical access to outbound message content. This is an unavoidable consequence of protocol translation and is disclosed in whitepaper Section 11.2.2. The PoC must log a clear warning in the bridge server output whenever a message is decrypted for outbound delivery.</w:t>
      </w:r>
    </w:p>
    <w:p>
      <w:pPr>
        <w:pStyle w:val="Heading2"/>
        <w:spacing w:before="320" w:after="120"/>
      </w:pPr>
      <w:r>
        <w:rPr>
          <w:rFonts w:ascii="Arial" w:cs="Arial" w:eastAsia="Arial" w:hAnsi="Arial"/>
          <w:b/>
          <w:bCs/>
          <w:color w:val="2E75B6"/>
          <w:sz w:val="26"/>
          <w:szCs w:val="26"/>
        </w:rPr>
        <w:t xml:space="preserve">6.3 Bridge Node Identity</w:t>
      </w:r>
    </w:p>
    <w:p>
      <w:pPr>
        <w:spacing w:before="60" w:after="80"/>
        <w:jc w:val="left"/>
      </w:pPr>
      <w:r>
        <w:rPr>
          <w:rFonts w:ascii="Arial" w:cs="Arial" w:eastAsia="Arial" w:hAnsi="Arial"/>
          <w:color w:val="404040"/>
          <w:sz w:val="22"/>
          <w:szCs w:val="22"/>
        </w:rPr>
        <w:t xml:space="preserve">The bridge node is a registered DMCN identity with a bridge_capability flag in its IdentityRecord. It must be registered in the DHT before it can accept or deliver messages. The dmcn-bridge binary handles its own key generation and registration on first run.</w:t>
      </w:r>
    </w:p>
    <w:p>
      <w:pPr>
        <w:pStyle w:val="Heading2"/>
        <w:spacing w:before="320" w:after="120"/>
      </w:pPr>
      <w:r>
        <w:rPr>
          <w:rFonts w:ascii="Arial" w:cs="Arial" w:eastAsia="Arial" w:hAnsi="Arial"/>
          <w:b/>
          <w:bCs/>
          <w:color w:val="2E75B6"/>
          <w:sz w:val="26"/>
          <w:szCs w:val="26"/>
        </w:rPr>
        <w:t xml:space="preserve">6.4 End-to-End Test Scenario</w:t>
      </w:r>
    </w:p>
    <w:p>
      <w:pPr>
        <w:spacing w:before="60" w:after="80"/>
        <w:jc w:val="left"/>
      </w:pPr>
      <w:r>
        <w:rPr>
          <w:rFonts w:ascii="Arial" w:cs="Arial" w:eastAsia="Arial" w:hAnsi="Arial"/>
          <w:color w:val="404040"/>
          <w:sz w:val="22"/>
          <w:szCs w:val="22"/>
        </w:rPr>
        <w:t xml:space="preserve">Milestone 3 is complete when the following scenario executes successfully:</w:t>
      </w:r>
    </w:p>
    <w:p>
      <w:pPr>
        <w:spacing w:before="80" w:after="0"/>
      </w:pPr>
      <w:r>
        <w:t xml:space="preserve"/>
      </w:r>
    </w:p>
    <w:p>
      <w:pPr>
        <w:pStyle w:val="ListParagraph"/>
        <w:numPr>
          <w:ilvl w:val="0"/>
          <w:numId w:val="3"/>
        </w:numPr>
        <w:spacing w:before="40" w:after="40"/>
      </w:pPr>
      <w:r>
        <w:rPr>
          <w:rFonts w:ascii="Arial" w:cs="Arial" w:eastAsia="Arial" w:hAnsi="Arial"/>
          <w:color w:val="404040"/>
          <w:sz w:val="22"/>
          <w:szCs w:val="22"/>
        </w:rPr>
        <w:t xml:space="preserve">Start dmcn-node (local DHT + relay) and dmcn-bridge.</w:t>
      </w:r>
    </w:p>
    <w:p>
      <w:pPr>
        <w:pStyle w:val="ListParagraph"/>
        <w:numPr>
          <w:ilvl w:val="0"/>
          <w:numId w:val="3"/>
        </w:numPr>
        <w:spacing w:before="40" w:after="40"/>
      </w:pPr>
      <w:r>
        <w:rPr>
          <w:rFonts w:ascii="Arial" w:cs="Arial" w:eastAsia="Arial" w:hAnsi="Arial"/>
          <w:color w:val="404040"/>
          <w:sz w:val="22"/>
          <w:szCs w:val="22"/>
        </w:rPr>
        <w:t xml:space="preserve">Register alice@dmcn.localhost as a DMCN identity.</w:t>
      </w:r>
    </w:p>
    <w:p>
      <w:pPr>
        <w:pStyle w:val="ListParagraph"/>
        <w:numPr>
          <w:ilvl w:val="0"/>
          <w:numId w:val="3"/>
        </w:numPr>
        <w:spacing w:before="40" w:after="40"/>
      </w:pPr>
      <w:r>
        <w:rPr>
          <w:rFonts w:ascii="Arial" w:cs="Arial" w:eastAsia="Arial" w:hAnsi="Arial"/>
          <w:color w:val="404040"/>
          <w:sz w:val="22"/>
          <w:szCs w:val="22"/>
        </w:rPr>
        <w:t xml:space="preserve">Send an SMTP message to alice@bridge.localhost from an external mail client or smtp-test tool.</w:t>
      </w:r>
    </w:p>
    <w:p>
      <w:pPr>
        <w:pStyle w:val="ListParagraph"/>
        <w:numPr>
          <w:ilvl w:val="0"/>
          <w:numId w:val="3"/>
        </w:numPr>
        <w:spacing w:before="40" w:after="40"/>
      </w:pPr>
      <w:r>
        <w:rPr>
          <w:rFonts w:ascii="Arial" w:cs="Arial" w:eastAsia="Arial" w:hAnsi="Arial"/>
          <w:color w:val="404040"/>
          <w:sz w:val="22"/>
          <w:szCs w:val="22"/>
        </w:rPr>
        <w:t xml:space="preserve">Confirm the message arrives in alice's DMCN fetch queue with a BridgeClassificationRecord attached.</w:t>
      </w:r>
    </w:p>
    <w:p>
      <w:pPr>
        <w:pStyle w:val="ListParagraph"/>
        <w:numPr>
          <w:ilvl w:val="0"/>
          <w:numId w:val="3"/>
        </w:numPr>
        <w:spacing w:before="40" w:after="40"/>
      </w:pPr>
      <w:r>
        <w:rPr>
          <w:rFonts w:ascii="Arial" w:cs="Arial" w:eastAsia="Arial" w:hAnsi="Arial"/>
          <w:color w:val="404040"/>
          <w:sz w:val="22"/>
          <w:szCs w:val="22"/>
        </w:rPr>
        <w:t xml:space="preserve">alice@dmcn.localhost composes a reply addressed to the legacy sender's email address.</w:t>
      </w:r>
    </w:p>
    <w:p>
      <w:pPr>
        <w:pStyle w:val="ListParagraph"/>
        <w:numPr>
          <w:ilvl w:val="0"/>
          <w:numId w:val="3"/>
        </w:numPr>
        <w:spacing w:before="40" w:after="40"/>
      </w:pPr>
      <w:r>
        <w:rPr>
          <w:rFonts w:ascii="Arial" w:cs="Arial" w:eastAsia="Arial" w:hAnsi="Arial"/>
          <w:color w:val="404040"/>
          <w:sz w:val="22"/>
          <w:szCs w:val="22"/>
        </w:rPr>
        <w:t xml:space="preserve">Confirm the reply is delivered as SMTP to the legacy address, DKIM-signed by the bridge.</w:t>
      </w:r>
    </w:p>
    <w:p>
      <w:pPr>
        <w:pStyle w:val="Heading1"/>
        <w:pBdr>
          <w:bottom w:val="single" w:color="2E75B6" w:sz="6" w:space="4"/>
        </w:pBdr>
        <w:spacing w:before="480" w:after="160"/>
      </w:pPr>
      <w:r>
        <w:rPr>
          <w:rFonts w:ascii="Arial" w:cs="Arial" w:eastAsia="Arial" w:hAnsi="Arial"/>
          <w:b/>
          <w:bCs/>
          <w:color w:val="1F4E79"/>
          <w:sz w:val="32"/>
          <w:szCs w:val="32"/>
        </w:rPr>
        <w:t xml:space="preserve">7. Non-Functional Requirements</w:t>
      </w:r>
    </w:p>
    <w:p>
      <w:pPr>
        <w:pStyle w:val="Heading2"/>
        <w:spacing w:before="320" w:after="120"/>
      </w:pPr>
      <w:r>
        <w:rPr>
          <w:rFonts w:ascii="Arial" w:cs="Arial" w:eastAsia="Arial" w:hAnsi="Arial"/>
          <w:b/>
          <w:bCs/>
          <w:color w:val="2E75B6"/>
          <w:sz w:val="26"/>
          <w:szCs w:val="26"/>
        </w:rPr>
        <w:t xml:space="preserve">7.1 Error Handling</w:t>
      </w:r>
    </w:p>
    <w:p>
      <w:pPr>
        <w:spacing w:before="60" w:after="80"/>
        <w:jc w:val="left"/>
      </w:pPr>
      <w:r>
        <w:rPr>
          <w:rFonts w:ascii="Arial" w:cs="Arial" w:eastAsia="Arial" w:hAnsi="Arial"/>
          <w:color w:val="404040"/>
          <w:sz w:val="22"/>
          <w:szCs w:val="22"/>
        </w:rPr>
        <w:t xml:space="preserve">All functions that can fail must return an error as the final return value. Errors must be typed (using errors.As / errors.Is patterns) and must carry enough context to identify the failing operation without exposing private key material. Panics are not acceptable in production code paths — only in init() validation of compile-time constants.</w:t>
      </w:r>
    </w:p>
    <w:p>
      <w:pPr>
        <w:pStyle w:val="Heading2"/>
        <w:spacing w:before="320" w:after="120"/>
      </w:pPr>
      <w:r>
        <w:rPr>
          <w:rFonts w:ascii="Arial" w:cs="Arial" w:eastAsia="Arial" w:hAnsi="Arial"/>
          <w:b/>
          <w:bCs/>
          <w:color w:val="2E75B6"/>
          <w:sz w:val="26"/>
          <w:szCs w:val="26"/>
        </w:rPr>
        <w:t xml:space="preserve">7.2 Logging</w:t>
      </w:r>
    </w:p>
    <w:p>
      <w:pPr>
        <w:spacing w:before="60" w:after="80"/>
        <w:jc w:val="left"/>
      </w:pPr>
      <w:r>
        <w:rPr>
          <w:rFonts w:ascii="Arial" w:cs="Arial" w:eastAsia="Arial" w:hAnsi="Arial"/>
          <w:color w:val="404040"/>
          <w:sz w:val="22"/>
          <w:szCs w:val="22"/>
        </w:rPr>
        <w:t xml:space="preserve">Use a structured logger (log/slog from Go 1.21 standard library). Log levels: DEBUG for protocol trace, INFO for normal operation events, WARN for degraded conditions, ERROR for failures. Private key material must never appear in log output at any level. Message content must never appear in log output above DEBUG level, and DEBUG logging must be disabled by default.</w:t>
      </w:r>
    </w:p>
    <w:p>
      <w:pPr>
        <w:pStyle w:val="Heading2"/>
        <w:spacing w:before="320" w:after="120"/>
      </w:pPr>
      <w:r>
        <w:rPr>
          <w:rFonts w:ascii="Arial" w:cs="Arial" w:eastAsia="Arial" w:hAnsi="Arial"/>
          <w:b/>
          <w:bCs/>
          <w:color w:val="2E75B6"/>
          <w:sz w:val="26"/>
          <w:szCs w:val="26"/>
        </w:rPr>
        <w:t xml:space="preserve">7.3 Configuration</w:t>
      </w:r>
    </w:p>
    <w:p>
      <w:pPr>
        <w:spacing w:before="60" w:after="80"/>
        <w:jc w:val="left"/>
      </w:pPr>
      <w:r>
        <w:rPr>
          <w:rFonts w:ascii="Arial" w:cs="Arial" w:eastAsia="Arial" w:hAnsi="Arial"/>
          <w:color w:val="404040"/>
          <w:sz w:val="22"/>
          <w:szCs w:val="22"/>
        </w:rPr>
        <w:t xml:space="preserve">All node configuration is supplied via a YAML config file and/or environment variables. No hardcoded addresses, ports, or key material. The config schema is documented and validated at startup with clear error messages for missing or invalid values.</w:t>
      </w:r>
    </w:p>
    <w:p>
      <w:pPr>
        <w:pStyle w:val="Heading2"/>
        <w:spacing w:before="320" w:after="120"/>
      </w:pPr>
      <w:r>
        <w:rPr>
          <w:rFonts w:ascii="Arial" w:cs="Arial" w:eastAsia="Arial" w:hAnsi="Arial"/>
          <w:b/>
          <w:bCs/>
          <w:color w:val="2E75B6"/>
          <w:sz w:val="26"/>
          <w:szCs w:val="26"/>
        </w:rPr>
        <w:t xml:space="preserve">7.4 Testing</w:t>
      </w:r>
    </w:p>
    <w:p>
      <w:pPr>
        <w:spacing w:before="60" w:after="80"/>
        <w:jc w:val="left"/>
      </w:pPr>
      <w:r>
        <w:rPr>
          <w:rFonts w:ascii="Arial" w:cs="Arial" w:eastAsia="Arial" w:hAnsi="Arial"/>
          <w:color w:val="404040"/>
          <w:sz w:val="22"/>
          <w:szCs w:val="22"/>
        </w:rPr>
        <w:t xml:space="preserve">Unit tests live alongside their packages (foo_test.go). Integration tests live in a top-level tests/ directory. The integration test suite must be runnable with a single command (make test-integration or equivalent) that starts all required local services and tears them down after. CI must run both unit and integration tests on every commit.</w:t>
      </w:r>
    </w:p>
    <w:p>
      <w:pPr>
        <w:pStyle w:val="Heading2"/>
        <w:spacing w:before="320" w:after="120"/>
      </w:pPr>
      <w:r>
        <w:rPr>
          <w:rFonts w:ascii="Arial" w:cs="Arial" w:eastAsia="Arial" w:hAnsi="Arial"/>
          <w:b/>
          <w:bCs/>
          <w:color w:val="2E75B6"/>
          <w:sz w:val="26"/>
          <w:szCs w:val="26"/>
        </w:rPr>
        <w:t xml:space="preserve">7.5 Dependencies</w:t>
      </w:r>
    </w:p>
    <w:p>
      <w:pPr>
        <w:spacing w:before="60" w:after="80"/>
        <w:jc w:val="left"/>
      </w:pPr>
      <w:r>
        <w:rPr>
          <w:rFonts w:ascii="Arial" w:cs="Arial" w:eastAsia="Arial" w:hAnsi="Arial"/>
          <w:color w:val="404040"/>
          <w:sz w:val="22"/>
          <w:szCs w:val="22"/>
        </w:rPr>
        <w:t xml:space="preserve">Minimise external dependencies. The approved external dependencies for the PoC are: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golang.org/x/crypto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X25519, HKDF, additional crypto primitives</w:t>
            </w:r>
          </w:p>
        </w:tc>
      </w:tr>
      <w:tr>
        <w:tc>
          <w:tcPr>
            <w:tcW w:type="dxa" w:w="3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google.golang.org/protobuf</w:t>
            </w:r>
          </w:p>
        </w:tc>
        <w:tc>
          <w:tcPr>
            <w:tcW w:type="dxa" w:w="5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Protocol Buffer serialisation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github.com/libp2p/go-libp2p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DHT and peer-to-peer networking foundation</w:t>
            </w:r>
          </w:p>
        </w:tc>
      </w:tr>
      <w:tr>
        <w:tc>
          <w:tcPr>
            <w:tcW w:type="dxa" w:w="3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gopkg.in/yaml.v3</w:t>
            </w:r>
          </w:p>
        </w:tc>
        <w:tc>
          <w:tcPr>
            <w:tcW w:type="dxa" w:w="5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Configuration file parsing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go.uber.org/zap or log/slog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Structured logging (prefer slog if Go &gt;= 1.21)</w:t>
            </w:r>
          </w:p>
        </w:tc>
      </w:tr>
    </w:tbl>
    <w:p>
      <w:pPr>
        <w:spacing w:before="120" w:after="0"/>
      </w:pPr>
      <w:r>
        <w:t xml:space="preserve"/>
      </w:r>
    </w:p>
    <w:p>
      <w:pPr>
        <w:spacing w:before="60" w:after="80"/>
        <w:jc w:val="left"/>
      </w:pPr>
      <w:r>
        <w:rPr>
          <w:rFonts w:ascii="Arial" w:cs="Arial" w:eastAsia="Arial" w:hAnsi="Arial"/>
          <w:color w:val="404040"/>
          <w:sz w:val="22"/>
          <w:szCs w:val="22"/>
        </w:rPr>
        <w:t xml:space="preserve">Any additional dependency requires a brief written justification in the PR that introduces it. Dependencies with C bindings (cgo) are discouraged unless no pure-Go alternative exists.</w:t>
      </w:r>
    </w:p>
    <w:p>
      <w:pPr>
        <w:pStyle w:val="Heading2"/>
        <w:spacing w:before="320" w:after="120"/>
      </w:pPr>
      <w:r>
        <w:rPr>
          <w:rFonts w:ascii="Arial" w:cs="Arial" w:eastAsia="Arial" w:hAnsi="Arial"/>
          <w:b/>
          <w:bCs/>
          <w:color w:val="2E75B6"/>
          <w:sz w:val="26"/>
          <w:szCs w:val="26"/>
        </w:rPr>
        <w:t xml:space="preserve">7.6 Security Constraints</w:t>
      </w:r>
    </w:p>
    <w:p>
      <w:pPr>
        <w:pStyle w:val="ListParagraph"/>
        <w:numPr>
          <w:ilvl w:val="0"/>
          <w:numId w:val="2"/>
        </w:numPr>
        <w:spacing w:before="40" w:after="40"/>
      </w:pPr>
      <w:r>
        <w:rPr>
          <w:rFonts w:ascii="Arial" w:cs="Arial" w:eastAsia="Arial" w:hAnsi="Arial"/>
          <w:color w:val="404040"/>
          <w:sz w:val="22"/>
          <w:szCs w:val="22"/>
        </w:rPr>
        <w:t xml:space="preserve">Private key material must never be written to disk in plaintext. The keystore must be AES-256-GCM encrypted with a key derived from the user's passphrase via PBKDF2 or Argon2id.</w:t>
      </w:r>
    </w:p>
    <w:p>
      <w:pPr>
        <w:pStyle w:val="ListParagraph"/>
        <w:numPr>
          <w:ilvl w:val="0"/>
          <w:numId w:val="2"/>
        </w:numPr>
        <w:spacing w:before="40" w:after="40"/>
      </w:pPr>
      <w:r>
        <w:rPr>
          <w:rFonts w:ascii="Arial" w:cs="Arial" w:eastAsia="Arial" w:hAnsi="Arial"/>
          <w:color w:val="404040"/>
          <w:sz w:val="22"/>
          <w:szCs w:val="22"/>
        </w:rPr>
        <w:t xml:space="preserve">TLS 1.3 is required for all inter-node communication. TLS 1.2 must not be accepted.</w:t>
      </w:r>
    </w:p>
    <w:p>
      <w:pPr>
        <w:pStyle w:val="ListParagraph"/>
        <w:numPr>
          <w:ilvl w:val="0"/>
          <w:numId w:val="2"/>
        </w:numPr>
        <w:spacing w:before="40" w:after="40"/>
      </w:pPr>
      <w:r>
        <w:rPr>
          <w:rFonts w:ascii="Arial" w:cs="Arial" w:eastAsia="Arial" w:hAnsi="Arial"/>
          <w:color w:val="404040"/>
          <w:sz w:val="22"/>
          <w:szCs w:val="22"/>
        </w:rPr>
        <w:t xml:space="preserve">All received IdentityRecords and SignedMessages must have their signatures verified before any processing occurs. Skipping signature verification is not acceptable under any code path.</w:t>
      </w:r>
    </w:p>
    <w:p>
      <w:pPr>
        <w:pStyle w:val="ListParagraph"/>
        <w:numPr>
          <w:ilvl w:val="0"/>
          <w:numId w:val="2"/>
        </w:numPr>
        <w:spacing w:before="40" w:after="40"/>
      </w:pPr>
      <w:r>
        <w:rPr>
          <w:rFonts w:ascii="Arial" w:cs="Arial" w:eastAsia="Arial" w:hAnsi="Arial"/>
          <w:color w:val="404040"/>
          <w:sz w:val="22"/>
          <w:szCs w:val="22"/>
        </w:rPr>
        <w:t xml:space="preserve">The relay node must never store an envelope from an unregistered sender. This check must occur before any disk write.</w:t>
      </w:r>
    </w:p>
    <w:p>
      <w:pPr>
        <w:pStyle w:val="Heading1"/>
        <w:pBdr>
          <w:bottom w:val="single" w:color="2E75B6" w:sz="6" w:space="4"/>
        </w:pBdr>
        <w:spacing w:before="480" w:after="160"/>
      </w:pPr>
      <w:r>
        <w:rPr>
          <w:rFonts w:ascii="Arial" w:cs="Arial" w:eastAsia="Arial" w:hAnsi="Arial"/>
          <w:b/>
          <w:bCs/>
          <w:color w:val="1F4E79"/>
          <w:sz w:val="32"/>
          <w:szCs w:val="32"/>
        </w:rPr>
        <w:t xml:space="preserve">8. 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Cryptographic 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internal/core packages + proto definitions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8 specified tests pass at 90% coverage</w:t>
            </w:r>
          </w:p>
        </w:tc>
      </w:tr>
      <w:tr>
        <w:tc>
          <w:tcPr>
            <w:tcW w:type="dxa" w:w="6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M2</w:t>
            </w:r>
          </w:p>
        </w:tc>
        <w:tc>
          <w:tcPr>
            <w:tcW w:type="dxa" w:w="22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Node and Registry</w:t>
            </w:r>
          </w:p>
        </w:tc>
        <w:tc>
          <w:tcPr>
            <w:tcW w:type="dxa" w:w="37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internal/registry, internal/relay, cmd/dmcn-node</w:t>
            </w:r>
          </w:p>
        </w:tc>
        <w:tc>
          <w:tcPr>
            <w:tcW w:type="dxa" w:w="28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End-to-end alice→bob message test passes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Bridge Node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internal/bridge, cmd/dmcn-bridge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Legacy SMTP↔DMCN round-trip test passes</w:t>
            </w:r>
          </w:p>
        </w:tc>
      </w:tr>
    </w:tbl>
    <w:p>
      <w:pPr>
        <w:spacing w:before="120" w:after="0"/>
      </w:pPr>
      <w:r>
        <w:t xml:space="preserve"/>
      </w:r>
    </w:p>
    <w:p>
      <w:pPr>
        <w:spacing w:before="60" w:after="80"/>
        <w:jc w:val="left"/>
      </w:pPr>
      <w:r>
        <w:rPr>
          <w:rFonts w:ascii="Arial" w:cs="Arial" w:eastAsia="Arial" w:hAnsi="Arial"/>
          <w:color w:val="404040"/>
          <w:sz w:val="22"/>
          <w:szCs w:val="22"/>
        </w:rPr>
        <w:t xml:space="preserve">Milestones are sequential. M2 must not begin until M1's test suite is complete and passing. M3 must not begin until M2's integration test is complete and passing.</w:t>
      </w:r>
    </w:p>
    <w:p>
      <w:pPr>
        <w:pStyle w:val="Heading1"/>
        <w:pBdr>
          <w:bottom w:val="single" w:color="2E75B6" w:sz="6" w:space="4"/>
        </w:pBdr>
        <w:spacing w:before="480" w:after="160"/>
      </w:pPr>
      <w:r>
        <w:rPr>
          <w:rFonts w:ascii="Arial" w:cs="Arial" w:eastAsia="Arial" w:hAnsi="Arial"/>
          <w:b/>
          <w:bCs/>
          <w:color w:val="1F4E79"/>
          <w:sz w:val="32"/>
          <w:szCs w:val="32"/>
        </w:rPr>
        <w:t xml:space="preserve">9. Explicitly Deferred (Post-PoC)</w:t>
      </w:r>
    </w:p>
    <w:p>
      <w:pPr>
        <w:spacing w:before="60" w:after="80"/>
        <w:jc w:val="left"/>
      </w:pPr>
      <w:r>
        <w:rPr>
          <w:rFonts w:ascii="Arial" w:cs="Arial" w:eastAsia="Arial" w:hAnsi="Arial"/>
          <w:color w:val="404040"/>
          <w:sz w:val="22"/>
          <w:szCs w:val="22"/>
        </w:rPr>
        <w:t xml:space="preserve">The following capabilities are confirmed out of scope for the PoC and must not be partially implemented or stubbed in ways that create technical debt:</w:t>
      </w:r>
    </w:p>
    <w:p>
      <w:pPr>
        <w:spacing w:before="80" w:after="0"/>
      </w:pPr>
      <w:r>
        <w:t xml:space="preserve"/>
      </w:r>
    </w:p>
    <w:p>
      <w:pPr>
        <w:pStyle w:val="ListParagraph"/>
        <w:numPr>
          <w:ilvl w:val="0"/>
          <w:numId w:val="2"/>
        </w:numPr>
        <w:spacing w:before="40" w:after="40"/>
      </w:pPr>
      <w:r>
        <w:rPr>
          <w:rFonts w:ascii="Arial" w:cs="Arial" w:eastAsia="Arial" w:hAnsi="Arial"/>
          <w:color w:val="404040"/>
          <w:sz w:val="22"/>
          <w:szCs w:val="22"/>
        </w:rPr>
        <w:t xml:space="preserve">Onion routing (Section 15.4.1) — direct delivery is used throughout the PoC.</w:t>
      </w:r>
    </w:p>
    <w:p>
      <w:pPr>
        <w:pStyle w:val="ListParagraph"/>
        <w:numPr>
          <w:ilvl w:val="0"/>
          <w:numId w:val="2"/>
        </w:numPr>
        <w:spacing w:before="40" w:after="40"/>
      </w:pPr>
      <w:r>
        <w:rPr>
          <w:rFonts w:ascii="Arial" w:cs="Arial" w:eastAsia="Arial" w:hAnsi="Arial"/>
          <w:color w:val="404040"/>
          <w:sz w:val="22"/>
          <w:szCs w:val="22"/>
        </w:rPr>
        <w:t xml:space="preserve">Double Ratchet forward secrecy (whitepaper Section 15.7, protocol v2) — the RatchetPubKey field is reserved as zero bytes only.</w:t>
      </w:r>
    </w:p>
    <w:p>
      <w:pPr>
        <w:pStyle w:val="ListParagraph"/>
        <w:numPr>
          <w:ilvl w:val="0"/>
          <w:numId w:val="2"/>
        </w:numPr>
        <w:spacing w:before="40" w:after="40"/>
      </w:pPr>
      <w:r>
        <w:rPr>
          <w:rFonts w:ascii="Arial" w:cs="Arial" w:eastAsia="Arial" w:hAnsi="Arial"/>
          <w:color w:val="404040"/>
          <w:sz w:val="22"/>
          <w:szCs w:val="22"/>
        </w:rPr>
        <w:t xml:space="preserve">Social key recovery (Section 7.3) — not implemented; key material is passphrase-protected on disk.</w:t>
      </w:r>
    </w:p>
    <w:p>
      <w:pPr>
        <w:pStyle w:val="ListParagraph"/>
        <w:numPr>
          <w:ilvl w:val="0"/>
          <w:numId w:val="2"/>
        </w:numPr>
        <w:spacing w:before="40" w:after="40"/>
      </w:pPr>
      <w:r>
        <w:rPr>
          <w:rFonts w:ascii="Arial" w:cs="Arial" w:eastAsia="Arial" w:hAnsi="Arial"/>
          <w:color w:val="404040"/>
          <w:sz w:val="22"/>
          <w:szCs w:val="22"/>
        </w:rPr>
        <w:t xml:space="preserve">Shared reputation feeds (Section 14.3.2) — not implemented.</w:t>
      </w:r>
    </w:p>
    <w:p>
      <w:pPr>
        <w:pStyle w:val="ListParagraph"/>
        <w:numPr>
          <w:ilvl w:val="0"/>
          <w:numId w:val="2"/>
        </w:numPr>
        <w:spacing w:before="40" w:after="40"/>
      </w:pPr>
      <w:r>
        <w:rPr>
          <w:rFonts w:ascii="Arial" w:cs="Arial" w:eastAsia="Arial" w:hAnsi="Arial"/>
          <w:color w:val="404040"/>
          <w:sz w:val="22"/>
          <w:szCs w:val="22"/>
        </w:rPr>
        <w:t xml:space="preserve">Full trust management stack (allowlist, pending queue, blocklist) — not implemented in the PoC node; the data structures may be defined but no UI or enforcement logic.</w:t>
      </w:r>
    </w:p>
    <w:p>
      <w:pPr>
        <w:pStyle w:val="ListParagraph"/>
        <w:numPr>
          <w:ilvl w:val="0"/>
          <w:numId w:val="2"/>
        </w:numPr>
        <w:spacing w:before="40" w:after="40"/>
      </w:pPr>
      <w:r>
        <w:rPr>
          <w:rFonts w:ascii="Arial" w:cs="Arial" w:eastAsia="Arial" w:hAnsi="Arial"/>
          <w:color w:val="404040"/>
          <w:sz w:val="22"/>
          <w:szCs w:val="22"/>
        </w:rPr>
        <w:t xml:space="preserve">Address portability / domain verification tiers — not implemented; all identities are TierUnverified in the PoC.</w:t>
      </w:r>
    </w:p>
    <w:p>
      <w:pPr>
        <w:pStyle w:val="ListParagraph"/>
        <w:numPr>
          <w:ilvl w:val="0"/>
          <w:numId w:val="2"/>
        </w:numPr>
        <w:spacing w:before="40" w:after="40"/>
      </w:pPr>
      <w:r>
        <w:rPr>
          <w:rFonts w:ascii="Arial" w:cs="Arial" w:eastAsia="Arial" w:hAnsi="Arial"/>
          <w:color w:val="404040"/>
          <w:sz w:val="22"/>
          <w:szCs w:val="22"/>
        </w:rPr>
        <w:t xml:space="preserve">Native desktop or mobile client — the CLI is the only client interface in the PoC.</w:t>
      </w:r>
    </w:p>
    <w:p>
      <w:pPr>
        <w:pStyle w:val="ListParagraph"/>
        <w:numPr>
          <w:ilvl w:val="0"/>
          <w:numId w:val="2"/>
        </w:numPr>
        <w:spacing w:before="40" w:after="40"/>
      </w:pPr>
      <w:r>
        <w:rPr>
          <w:rFonts w:ascii="Arial" w:cs="Arial" w:eastAsia="Arial" w:hAnsi="Arial"/>
          <w:color w:val="404040"/>
          <w:sz w:val="22"/>
          <w:szCs w:val="22"/>
        </w:rPr>
        <w:t xml:space="preserve">Production DHT deployment — localhost only.</w:t>
      </w:r>
    </w:p>
    <w:p>
      <w:pPr>
        <w:pStyle w:val="Heading1"/>
        <w:pBdr>
          <w:bottom w:val="single" w:color="2E75B6" w:sz="6" w:space="4"/>
        </w:pBdr>
        <w:spacing w:before="480" w:after="160"/>
      </w:pPr>
      <w:r>
        <w:rPr>
          <w:rFonts w:ascii="Arial" w:cs="Arial" w:eastAsia="Arial" w:hAnsi="Arial"/>
          <w:b/>
          <w:bCs/>
          <w:color w:val="1F4E79"/>
          <w:sz w:val="32"/>
          <w:szCs w:val="32"/>
        </w:rPr>
        <w:t xml:space="preserve">10.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DMCN Whitepaper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protocol design and rationale. All section references in this PRD refer to this document.</w:t>
            </w:r>
          </w:p>
        </w:tc>
      </w:tr>
      <w:tr>
        <w:tc>
          <w:tcPr>
            <w:tcW w:type="dxa" w:w="28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Section 15.2</w:t>
            </w:r>
          </w:p>
        </w:tc>
        <w:tc>
          <w:tcPr>
            <w:tcW w:type="dxa" w:w="6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Identity layer data structures and registry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 15.3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Message format: PlaintextMessage, SignedMessage, EncryptedEnvelope, KEM pattern.</w:t>
            </w:r>
          </w:p>
        </w:tc>
      </w:tr>
      <w:tr>
        <w:tc>
          <w:tcPr>
            <w:tcW w:type="dxa" w:w="28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Section 15.4</w:t>
            </w:r>
          </w:p>
        </w:tc>
        <w:tc>
          <w:tcPr>
            <w:tcW w:type="dxa" w:w="6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Transport layer and relay node protocol (onion routing deferred to post-PoC).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 15.5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Storage and delivery layer.</w:t>
            </w:r>
          </w:p>
        </w:tc>
      </w:tr>
      <w:tr>
        <w:tc>
          <w:tcPr>
            <w:tcW w:type="dxa" w:w="28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Section 15.6</w:t>
            </w:r>
          </w:p>
        </w:tc>
        <w:tc>
          <w:tcPr>
            <w:tcW w:type="dxa" w:w="6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Bridge protocol interface and BridgeClassificationRecord.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 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SMTP-DMCN bridge architecture, inbound and outbound paths.</w:t>
            </w:r>
          </w:p>
        </w:tc>
      </w:tr>
      <w:tr>
        <w:tc>
          <w:tcPr>
            <w:tcW w:type="dxa" w:w="280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Section 17.5</w:t>
            </w:r>
          </w:p>
        </w:tc>
        <w:tc>
          <w:tcPr>
            <w:tcW w:type="dxa" w:w="6560"/>
            <w:tcBorders>
              <w:top w:val="single" w:color="CCCCCC" w:sz="1"/>
              <w:left w:val="single" w:color="CCCCCC" w:sz="1"/>
              <w:bottom w:val="single" w:color="CCCCCC" w:sz="1"/>
              <w:right w:val="single" w:color="CCCCCC" w:sz="1"/>
            </w:tcBorders>
            <w:shd w:fill="F7FAFE" w:val="clear"/>
            <w:tcMar>
              <w:top w:type="dxa" w:w="80"/>
              <w:left w:type="dxa" w:w="120"/>
              <w:bottom w:type="dxa" w:w="80"/>
              <w:right w:type="dxa" w:w="120"/>
            </w:tcMar>
          </w:tcPr>
          <w:p>
            <w:r>
              <w:rPr>
                <w:rFonts w:ascii="Arial" w:cs="Arial" w:eastAsia="Arial" w:hAnsi="Arial"/>
                <w:color w:val="404040"/>
                <w:sz w:val="20"/>
                <w:szCs w:val="20"/>
              </w:rPr>
              <w:t xml:space="preserve">Sybil resistance — rationale for new identity rate limiting.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Section 19.7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Standards process context — why prototype precedes IETF engagement.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66666"/>
        <w:sz w:val="18"/>
        <w:szCs w:val="18"/>
      </w:rPr>
      <w:t xml:space="preserve">v1.0 · March 2026</w:t>
    </w:r>
    <w:r>
      <w:rPr>
        <w:rFonts w:ascii="Arial" w:cs="Arial" w:eastAsia="Arial" w:hAnsi="Arial"/>
        <w:sz w:val="18"/>
        <w:szCs w:val="18"/>
      </w:rPr>
      <w:t xml:space="preserve">	</w:t>
    </w:r>
    <w:r>
      <w:rPr>
        <w:rFonts w:ascii="Arial" w:cs="Arial" w:eastAsia="Arial" w:hAnsi="Arial"/>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666666"/>
        <w:sz w:val="18"/>
        <w:szCs w:val="18"/>
      </w:rPr>
      <w:t xml:space="preserve">DMCN — Proof of Concept PRD</w:t>
    </w:r>
    <w:r>
      <w:rPr>
        <w:rFonts w:ascii="Arial" w:cs="Arial" w:eastAsia="Arial" w:hAnsi="Arial"/>
        <w:sz w:val="18"/>
        <w:szCs w:val="18"/>
      </w:rPr>
      <w:t xml:space="preserve">	</w:t>
    </w:r>
    <w:r>
      <w:rPr>
        <w:rFonts w:ascii="Arial" w:cs="Arial" w:eastAsia="Arial" w:hAnsi="Arial"/>
        <w:b/>
        <w:b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2026-03-11T04:27:07.316Z</dcterms:created>
  <dcterms:modified xsi:type="dcterms:W3CDTF">2026-03-11T04:27:07.316Z</dcterms:modified>
</cp:coreProperties>
</file>

<file path=docProps/custom.xml><?xml version="1.0" encoding="utf-8"?>
<Properties xmlns="http://schemas.openxmlformats.org/officeDocument/2006/custom-properties" xmlns:vt="http://schemas.openxmlformats.org/officeDocument/2006/docPropsVTypes"/>
</file>