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line="360" w:lineRule="auto"/>
        <w:jc w:val="center"/>
      </w:pPr>
      <w:r>
        <w:rPr>
          <w:rFonts w:ascii="Times New Roman" w:hAnsi="Times New Roman"/>
          <w:b/>
          <w:i w:val="0"/>
          <w:color w:val="000000"/>
          <w:sz w:val="32"/>
        </w:rPr>
        <w:t>YEDİTEPE UNIVERSITY</w:t>
      </w:r>
    </w:p>
    <w:p>
      <w:pPr>
        <w:spacing w:before="0" w:after="960" w:line="360" w:lineRule="auto"/>
        <w:jc w:val="center"/>
      </w:pPr>
      <w:r>
        <w:rPr>
          <w:rFonts w:ascii="Times New Roman" w:hAnsi="Times New Roman"/>
          <w:b/>
          <w:i w:val="0"/>
          <w:color w:val="000000"/>
          <w:sz w:val="26"/>
        </w:rPr>
        <w:t>FACULTY OF COMPUTER AND INFORMATION SCIENCES</w:t>
        <w:br/>
        <w:t>DEPARTMENT OF MANAGEMENT INFORMATION SYSTEMS</w:t>
      </w:r>
    </w:p>
    <w:p>
      <w:pPr>
        <w:spacing w:before="800" w:after="960" w:line="360" w:lineRule="auto"/>
        <w:jc w:val="center"/>
      </w:pPr>
      <w:r>
        <w:rPr>
          <w:rFonts w:ascii="Times New Roman" w:hAnsi="Times New Roman"/>
          <w:b/>
          <w:i w:val="0"/>
          <w:color w:val="000000"/>
          <w:sz w:val="30"/>
        </w:rPr>
        <w:t>DESIGN AND IMPLEMENTATION OF AN INTELLIGENT B2B SUPPLY CHAIN, INVENTORY TRACKING, AND MULTI-CRITERIA SUPPLIER PERFORMANCE EVALUATION PORTAL</w:t>
      </w:r>
    </w:p>
    <w:p>
      <w:pPr>
        <w:spacing w:before="720" w:after="240" w:line="360" w:lineRule="auto"/>
        <w:jc w:val="center"/>
      </w:pPr>
      <w:r>
        <w:rPr>
          <w:rFonts w:ascii="Times New Roman" w:hAnsi="Times New Roman"/>
          <w:b w:val="0"/>
          <w:i/>
          <w:color w:val="000000"/>
          <w:sz w:val="26"/>
        </w:rPr>
        <w:t>Graduation Project Report</w:t>
      </w:r>
    </w:p>
    <w:p>
      <w:pPr>
        <w:spacing w:before="240" w:after="1200" w:line="360" w:lineRule="auto"/>
        <w:jc w:val="center"/>
      </w:pPr>
      <w:r>
        <w:rPr>
          <w:rFonts w:ascii="Times New Roman" w:hAnsi="Times New Roman"/>
          <w:b/>
          <w:i w:val="0"/>
          <w:color w:val="000000"/>
          <w:sz w:val="28"/>
        </w:rPr>
        <w:t>by</w:t>
        <w:br/>
        <w:br/>
        <w:t>MERT GÜNEL</w:t>
      </w:r>
    </w:p>
    <w:p>
      <w:pPr>
        <w:spacing w:before="800" w:after="0" w:line="360" w:lineRule="auto"/>
        <w:jc w:val="center"/>
      </w:pPr>
      <w:r>
        <w:rPr>
          <w:rFonts w:ascii="Times New Roman" w:hAnsi="Times New Roman"/>
          <w:b/>
          <w:i w:val="0"/>
          <w:color w:val="000000"/>
          <w:sz w:val="26"/>
        </w:rPr>
        <w:t>ISTANBUL, 2026</w:t>
      </w:r>
    </w:p>
    <w:p>
      <w:r>
        <w:br w:type="page"/>
      </w:r>
    </w:p>
    <w:p>
      <w:pPr>
        <w:spacing w:before="240" w:after="480" w:line="360" w:lineRule="auto"/>
        <w:jc w:val="center"/>
      </w:pPr>
      <w:r>
        <w:rPr>
          <w:rFonts w:ascii="Times New Roman" w:hAnsi="Times New Roman"/>
          <w:b/>
          <w:i w:val="0"/>
          <w:color w:val="000000"/>
          <w:sz w:val="28"/>
        </w:rPr>
        <w:t>APPROVAL PAGE</w:t>
      </w:r>
    </w:p>
    <w:p>
      <w:pPr>
        <w:spacing w:before="240" w:after="720" w:line="360" w:lineRule="auto"/>
        <w:jc w:val="both"/>
      </w:pPr>
      <w:r>
        <w:rPr>
          <w:rFonts w:ascii="Times New Roman" w:hAnsi="Times New Roman"/>
          <w:b w:val="0"/>
          <w:i w:val="0"/>
          <w:color w:val="000000"/>
          <w:sz w:val="24"/>
        </w:rPr>
        <w:t>The project report titled "DESIGN AND IMPLEMENTATION OF AN INTELLIGENT B2B SUPPLY CHAIN, INVENTORY TRACKING, AND MULTI-CRITERIA SUPPLIER PERFORMANCE EVALUATION PORTAL" prepared by MERT GÜNEL has been approved by the examining committee on ___ / ___ / 2026 as a Graduation Project in the Department of Management Information Systems, Yeditepe University.</w:t>
      </w:r>
    </w:p>
    <w:p>
      <w:pPr>
        <w:spacing w:before="360" w:after="360" w:line="360" w:lineRule="auto"/>
        <w:jc w:val="left"/>
      </w:pPr>
      <w:r>
        <w:rPr>
          <w:rFonts w:ascii="Times New Roman" w:hAnsi="Times New Roman"/>
          <w:b/>
          <w:i w:val="0"/>
          <w:color w:val="000000"/>
          <w:sz w:val="24"/>
        </w:rPr>
        <w:t>EXAMINING COMMITTEE / APPROVAL:</w:t>
      </w:r>
    </w:p>
    <w:tbl>
      <w:tblPr>
        <w:tblW w:type="auto" w:w="0"/>
        <w:jc w:val="center"/>
        <w:tblLayout w:type="fixed"/>
        <w:tblLook w:firstColumn="1" w:firstRow="1" w:lastColumn="0" w:lastRow="0" w:noHBand="0" w:noVBand="1" w:val="04A0"/>
      </w:tblPr>
      <w:tblGrid>
        <w:gridCol w:w="2837"/>
        <w:gridCol w:w="2837"/>
        <w:gridCol w:w="2837"/>
      </w:tblGrid>
      <w:tr>
        <w:tc>
          <w:tcPr>
            <w:tcW w:type="dxa" w:w="3600"/>
          </w:tcPr>
          <w:p>
            <w:pPr>
              <w:spacing w:before="120" w:after="120"/>
            </w:pPr>
            <w:r>
              <w:rPr>
                <w:rFonts w:ascii="Times New Roman" w:hAnsi="Times New Roman"/>
                <w:b/>
                <w:i w:val="0"/>
                <w:color w:val="000000"/>
                <w:sz w:val="20"/>
              </w:rPr>
              <w:t>Supervisor: Assist. Prof. Dr. Name Surname</w:t>
            </w:r>
          </w:p>
        </w:tc>
        <w:tc>
          <w:tcPr>
            <w:tcW w:type="dxa" w:w="2592"/>
          </w:tcPr>
          <w:p>
            <w:pPr>
              <w:spacing w:before="120" w:after="120"/>
            </w:pPr>
            <w:r>
              <w:rPr>
                <w:rFonts w:ascii="Times New Roman" w:hAnsi="Times New Roman"/>
                <w:b w:val="0"/>
                <w:i w:val="0"/>
                <w:color w:val="000000"/>
                <w:sz w:val="20"/>
              </w:rPr>
              <w:t>Yeditepe University</w:t>
            </w:r>
          </w:p>
        </w:tc>
        <w:tc>
          <w:tcPr>
            <w:tcW w:type="dxa" w:w="2160"/>
          </w:tcPr>
          <w:p>
            <w:pPr>
              <w:spacing w:before="120" w:after="120"/>
            </w:pPr>
            <w:r>
              <w:rPr>
                <w:rFonts w:ascii="Times New Roman" w:hAnsi="Times New Roman"/>
                <w:b w:val="0"/>
                <w:i w:val="0"/>
                <w:color w:val="000000"/>
                <w:sz w:val="20"/>
              </w:rPr>
              <w:t>Signature: ___________</w:t>
            </w:r>
          </w:p>
        </w:tc>
      </w:tr>
      <w:tr>
        <w:tc>
          <w:tcPr>
            <w:tcW w:type="dxa" w:w="3600"/>
          </w:tcPr>
          <w:p>
            <w:pPr>
              <w:spacing w:before="120" w:after="120"/>
            </w:pPr>
            <w:r>
              <w:rPr>
                <w:rFonts w:ascii="Times New Roman" w:hAnsi="Times New Roman"/>
                <w:b/>
                <w:i w:val="0"/>
                <w:color w:val="000000"/>
                <w:sz w:val="20"/>
              </w:rPr>
              <w:t>Member: Assoc. Prof. Dr. Name Surname</w:t>
            </w:r>
          </w:p>
        </w:tc>
        <w:tc>
          <w:tcPr>
            <w:tcW w:type="dxa" w:w="2592"/>
          </w:tcPr>
          <w:p>
            <w:pPr>
              <w:spacing w:before="120" w:after="120"/>
            </w:pPr>
            <w:r>
              <w:rPr>
                <w:rFonts w:ascii="Times New Roman" w:hAnsi="Times New Roman"/>
                <w:b w:val="0"/>
                <w:i w:val="0"/>
                <w:color w:val="000000"/>
                <w:sz w:val="20"/>
              </w:rPr>
              <w:t>Yeditepe University</w:t>
            </w:r>
          </w:p>
        </w:tc>
        <w:tc>
          <w:tcPr>
            <w:tcW w:type="dxa" w:w="2160"/>
          </w:tcPr>
          <w:p>
            <w:pPr>
              <w:spacing w:before="120" w:after="120"/>
            </w:pPr>
            <w:r>
              <w:rPr>
                <w:rFonts w:ascii="Times New Roman" w:hAnsi="Times New Roman"/>
                <w:b w:val="0"/>
                <w:i w:val="0"/>
                <w:color w:val="000000"/>
                <w:sz w:val="20"/>
              </w:rPr>
              <w:t>Signature: ___________</w:t>
            </w:r>
          </w:p>
        </w:tc>
      </w:tr>
      <w:tr>
        <w:tc>
          <w:tcPr>
            <w:tcW w:type="dxa" w:w="3600"/>
          </w:tcPr>
          <w:p>
            <w:pPr>
              <w:spacing w:before="120" w:after="120"/>
            </w:pPr>
            <w:r>
              <w:rPr>
                <w:rFonts w:ascii="Times New Roman" w:hAnsi="Times New Roman"/>
                <w:b/>
                <w:i w:val="0"/>
                <w:color w:val="000000"/>
                <w:sz w:val="20"/>
              </w:rPr>
              <w:t>Member: Prof. Dr. Name Surname</w:t>
            </w:r>
          </w:p>
        </w:tc>
        <w:tc>
          <w:tcPr>
            <w:tcW w:type="dxa" w:w="2592"/>
          </w:tcPr>
          <w:p>
            <w:pPr>
              <w:spacing w:before="120" w:after="120"/>
            </w:pPr>
            <w:r>
              <w:rPr>
                <w:rFonts w:ascii="Times New Roman" w:hAnsi="Times New Roman"/>
                <w:b w:val="0"/>
                <w:i w:val="0"/>
                <w:color w:val="000000"/>
                <w:sz w:val="20"/>
              </w:rPr>
              <w:t>Yeditepe University</w:t>
            </w:r>
          </w:p>
        </w:tc>
        <w:tc>
          <w:tcPr>
            <w:tcW w:type="dxa" w:w="2160"/>
          </w:tcPr>
          <w:p>
            <w:pPr>
              <w:spacing w:before="120" w:after="120"/>
            </w:pPr>
            <w:r>
              <w:rPr>
                <w:rFonts w:ascii="Times New Roman" w:hAnsi="Times New Roman"/>
                <w:b w:val="0"/>
                <w:i w:val="0"/>
                <w:color w:val="000000"/>
                <w:sz w:val="20"/>
              </w:rPr>
              <w:t>Signature: ___________</w:t>
            </w:r>
          </w:p>
        </w:tc>
      </w:tr>
      <w:tr>
        <w:tc>
          <w:tcPr>
            <w:tcW w:type="dxa" w:w="3600"/>
          </w:tcPr>
          <w:p>
            <w:pPr>
              <w:spacing w:before="120" w:after="120"/>
            </w:pPr>
            <w:r>
              <w:rPr>
                <w:rFonts w:ascii="Times New Roman" w:hAnsi="Times New Roman"/>
                <w:b/>
                <w:i w:val="0"/>
                <w:color w:val="000000"/>
                <w:sz w:val="20"/>
              </w:rPr>
              <w:t>Head of Department: Prof. Dr. Name Surname</w:t>
            </w:r>
          </w:p>
        </w:tc>
        <w:tc>
          <w:tcPr>
            <w:tcW w:type="dxa" w:w="2592"/>
          </w:tcPr>
          <w:p>
            <w:pPr>
              <w:spacing w:before="120" w:after="120"/>
            </w:pPr>
            <w:r>
              <w:rPr>
                <w:rFonts w:ascii="Times New Roman" w:hAnsi="Times New Roman"/>
                <w:b w:val="0"/>
                <w:i w:val="0"/>
                <w:color w:val="000000"/>
                <w:sz w:val="20"/>
              </w:rPr>
              <w:t>Yeditepe University</w:t>
            </w:r>
          </w:p>
        </w:tc>
        <w:tc>
          <w:tcPr>
            <w:tcW w:type="dxa" w:w="2160"/>
          </w:tcPr>
          <w:p>
            <w:pPr>
              <w:spacing w:before="120" w:after="120"/>
            </w:pPr>
            <w:r>
              <w:rPr>
                <w:rFonts w:ascii="Times New Roman" w:hAnsi="Times New Roman"/>
                <w:b w:val="0"/>
                <w:i w:val="0"/>
                <w:color w:val="000000"/>
                <w:sz w:val="20"/>
              </w:rPr>
              <w:t>Signature: ___________</w:t>
            </w:r>
          </w:p>
        </w:tc>
      </w:tr>
    </w:tbl>
    <w:p>
      <w:pPr>
        <w:spacing w:before="480" w:after="0" w:line="360" w:lineRule="auto"/>
        <w:jc w:val="left"/>
      </w:pPr>
      <w:r>
        <w:rPr>
          <w:rFonts w:ascii="Times New Roman" w:hAnsi="Times New Roman"/>
          <w:b/>
          <w:i w:val="0"/>
          <w:color w:val="000000"/>
          <w:sz w:val="24"/>
        </w:rPr>
        <w:br/>
        <w:t>Date of Approval: ___ / ___ / 2026</w:t>
      </w:r>
    </w:p>
    <w:p>
      <w:r>
        <w:br w:type="page"/>
      </w:r>
    </w:p>
    <w:p>
      <w:pPr>
        <w:spacing w:before="240" w:after="480" w:line="360" w:lineRule="auto"/>
        <w:jc w:val="center"/>
      </w:pPr>
      <w:r>
        <w:rPr>
          <w:rFonts w:ascii="Times New Roman" w:hAnsi="Times New Roman"/>
          <w:b/>
          <w:i w:val="0"/>
          <w:color w:val="000000"/>
          <w:sz w:val="28"/>
        </w:rPr>
        <w:t>DEDICATION</w:t>
      </w:r>
    </w:p>
    <w:p>
      <w:pPr>
        <w:spacing w:before="360" w:after="720" w:line="360" w:lineRule="auto"/>
        <w:jc w:val="both"/>
      </w:pPr>
      <w:r>
        <w:rPr>
          <w:rFonts w:ascii="Times New Roman" w:hAnsi="Times New Roman"/>
          <w:b w:val="0"/>
          <w:i/>
          <w:color w:val="000000"/>
          <w:sz w:val="24"/>
        </w:rPr>
        <w:t>To my family, whose endless encouragement, sacrifices, and unconditional belief in my education have guided me at every step of my academic journey.</w:t>
      </w:r>
    </w:p>
    <w:p>
      <w:r>
        <w:br w:type="page"/>
      </w:r>
    </w:p>
    <w:p>
      <w:pPr>
        <w:spacing w:before="240" w:after="480" w:line="360" w:lineRule="auto"/>
        <w:jc w:val="center"/>
      </w:pPr>
      <w:r>
        <w:rPr>
          <w:rFonts w:ascii="Times New Roman" w:hAnsi="Times New Roman"/>
          <w:b/>
          <w:i w:val="0"/>
          <w:color w:val="000000"/>
          <w:sz w:val="28"/>
        </w:rPr>
        <w:t>ACKNOWLEDGEMENTS</w:t>
      </w:r>
    </w:p>
    <w:p>
      <w:pPr>
        <w:spacing w:before="240" w:after="240" w:line="360" w:lineRule="auto"/>
        <w:jc w:val="both"/>
      </w:pPr>
      <w:r>
        <w:rPr>
          <w:rFonts w:ascii="Times New Roman" w:hAnsi="Times New Roman"/>
          <w:b w:val="0"/>
          <w:i w:val="0"/>
          <w:color w:val="000000"/>
          <w:sz w:val="24"/>
        </w:rPr>
        <w:t>I would like to express my deepest gratitude to my project supervisor for their invaluable guidance, constructive feedback, and continuous support throughout the conceptualization, architecture design, and implementation stages of this graduation project.</w:t>
      </w:r>
    </w:p>
    <w:p>
      <w:pPr>
        <w:spacing w:before="240" w:after="240" w:line="360" w:lineRule="auto"/>
        <w:jc w:val="both"/>
      </w:pPr>
      <w:r>
        <w:rPr>
          <w:rFonts w:ascii="Times New Roman" w:hAnsi="Times New Roman"/>
          <w:b w:val="0"/>
          <w:i w:val="0"/>
          <w:color w:val="000000"/>
          <w:sz w:val="24"/>
        </w:rPr>
        <w:t>I also extend my sincere appreciation to the faculty members of the Department of Management Information Systems at Yeditepe University for imparting the theoretical and practical knowledge in software engineering, database management, and supply chain operations that formed the foundation of this work.</w:t>
      </w:r>
    </w:p>
    <w:p>
      <w:pPr>
        <w:spacing w:before="240" w:after="240" w:line="360" w:lineRule="auto"/>
        <w:jc w:val="both"/>
      </w:pPr>
      <w:r>
        <w:rPr>
          <w:rFonts w:ascii="Times New Roman" w:hAnsi="Times New Roman"/>
          <w:b w:val="0"/>
          <w:i w:val="0"/>
          <w:color w:val="000000"/>
          <w:sz w:val="24"/>
        </w:rPr>
        <w:t>Finally, I am profoundly grateful to my friends and colleagues for their continuous encouragement and insightful feedback during the testing and optimization phases of this portal.</w:t>
      </w:r>
    </w:p>
    <w:p>
      <w:r>
        <w:br w:type="page"/>
      </w:r>
    </w:p>
    <w:p>
      <w:pPr>
        <w:spacing w:before="240" w:after="360" w:line="360" w:lineRule="auto"/>
        <w:jc w:val="center"/>
      </w:pPr>
      <w:r>
        <w:rPr>
          <w:rFonts w:ascii="Times New Roman" w:hAnsi="Times New Roman"/>
          <w:b/>
          <w:i w:val="0"/>
          <w:color w:val="000000"/>
          <w:sz w:val="28"/>
        </w:rPr>
        <w:t>ABSTRACT</w:t>
      </w:r>
    </w:p>
    <w:p>
      <w:pPr>
        <w:spacing w:before="0" w:after="360" w:line="360" w:lineRule="auto"/>
        <w:jc w:val="center"/>
      </w:pPr>
      <w:r>
        <w:rPr>
          <w:rFonts w:ascii="Times New Roman" w:hAnsi="Times New Roman"/>
          <w:b/>
          <w:i w:val="0"/>
          <w:color w:val="000000"/>
          <w:sz w:val="24"/>
        </w:rPr>
        <w:t>DESIGN AND IMPLEMENTATION OF AN INTELLIGENT B2B SUPPLY CHAIN, INVENTORY TRACKING, AND MULTI-CRITERIA SUPPLIER PERFORMANCE EVALUATION PORTAL</w:t>
      </w:r>
    </w:p>
    <w:p>
      <w:pPr>
        <w:spacing w:before="120" w:after="240" w:line="360" w:lineRule="auto"/>
        <w:jc w:val="both"/>
      </w:pPr>
      <w:r>
        <w:rPr>
          <w:rFonts w:ascii="Times New Roman" w:hAnsi="Times New Roman"/>
          <w:b w:val="0"/>
          <w:i w:val="0"/>
          <w:color w:val="000000"/>
          <w:sz w:val="24"/>
        </w:rPr>
        <w:t>In contemporary industrial supply chains, small-to-medium enterprises (SMEs) and suppliers frequently encounter operational bottlenecks caused by fragmented communication, opaque inventory tracking, severe stockout risks, and subjective vendor evaluations. This project presents the design, architectural engineering, and deployment of an end-to-end, cloud-native B2B Supply Chain, Materials Marketplace, and Dynamic Supplier Performance Scoring Portal.</w:t>
      </w:r>
    </w:p>
    <w:p>
      <w:pPr>
        <w:spacing w:before="120" w:after="240" w:line="360" w:lineRule="auto"/>
        <w:jc w:val="both"/>
      </w:pPr>
      <w:r>
        <w:rPr>
          <w:rFonts w:ascii="Times New Roman" w:hAnsi="Times New Roman"/>
          <w:b w:val="0"/>
          <w:i w:val="0"/>
          <w:color w:val="000000"/>
          <w:sz w:val="24"/>
        </w:rPr>
        <w:t>Developed utilizing the Django Framework, Django REST Framework (DRF), a modular relational database architecture, and a reactive frontend client, the platform digitizes and unifies the entire procurement lifecycle between purchasing enterprises (Buyers) and manufacturing vendors (Suppliers). The portal introduces four core subsystems: (1) An interactive B2B Material Marketplace enabling 1-click cross-company Purchase Orders with automated stock deduction and supplier order routing; (2) An automated document generation engine producing standard legal PDF Purchase Orders and commercial Invoices via ReportLab, coupled with genuine Microsoft Excel (.xlsx) analytics exports via SheetJS; (3) An autonomous safety buffer monitoring system that continuously tracks stock levels against safety thresholds and issues real-time early warning notifications; and (4) A mathematical Weighted Multi-Criteria Decision Model (MCDM) for supplier performance evaluation based on Delivery Timeliness (W1=0.40), Order Completeness (W2=0.35), and Price Consistency (W3=0.25).</w:t>
      </w:r>
    </w:p>
    <w:p>
      <w:pPr>
        <w:spacing w:before="120" w:after="240" w:line="360" w:lineRule="auto"/>
        <w:jc w:val="both"/>
      </w:pPr>
      <w:r>
        <w:rPr>
          <w:rFonts w:ascii="Times New Roman" w:hAnsi="Times New Roman"/>
          <w:b w:val="0"/>
          <w:i w:val="0"/>
          <w:color w:val="000000"/>
          <w:sz w:val="24"/>
        </w:rPr>
        <w:t>The system incorporates Role-Based Access Control (RBAC), browser session restoration across page reloads, responsive modal viewports, and administrative oversight via Django Admin. Empirical testing verifies that the integrated portal significantly minimizes procurement latency, enhances stock transparency, eliminates supplier evaluation bias, and fosters data-driven B2B commerce.</w:t>
      </w:r>
    </w:p>
    <w:p>
      <w:pPr>
        <w:spacing w:before="240" w:after="0" w:line="360" w:lineRule="auto"/>
        <w:jc w:val="both"/>
      </w:pPr>
      <w:r>
        <w:rPr>
          <w:rFonts w:ascii="Times New Roman" w:hAnsi="Times New Roman"/>
          <w:b/>
          <w:i w:val="0"/>
          <w:color w:val="000000"/>
          <w:sz w:val="24"/>
        </w:rPr>
        <w:t>Keywords: B2B Supply Chain Management, Multi-Criteria Decision Making (MCDM), Supplier Performance Evaluation, Inventory Control &amp; Safety Thresholds, Automated Procurement, Django REST Framework, Management Information Systems.</w:t>
      </w:r>
    </w:p>
    <w:p>
      <w:r>
        <w:br w:type="page"/>
      </w:r>
    </w:p>
    <w:p>
      <w:pPr>
        <w:spacing w:before="240" w:after="360" w:line="360" w:lineRule="auto"/>
        <w:jc w:val="center"/>
      </w:pPr>
      <w:r>
        <w:rPr>
          <w:rFonts w:ascii="Times New Roman" w:hAnsi="Times New Roman"/>
          <w:b/>
          <w:i w:val="0"/>
          <w:color w:val="000000"/>
          <w:sz w:val="28"/>
        </w:rPr>
        <w:t>ÖZET</w:t>
      </w:r>
    </w:p>
    <w:p>
      <w:pPr>
        <w:spacing w:before="0" w:after="360" w:line="360" w:lineRule="auto"/>
        <w:jc w:val="center"/>
      </w:pPr>
      <w:r>
        <w:rPr>
          <w:rFonts w:ascii="Times New Roman" w:hAnsi="Times New Roman"/>
          <w:b/>
          <w:i w:val="0"/>
          <w:color w:val="000000"/>
          <w:sz w:val="24"/>
        </w:rPr>
        <w:t>AKILLI B2B TEDARİK ZİNCİRİ, ENVANTER TAKİBİ VE ÇOK KRİTERLİ TEDARİKÇİ PERFORMANS DEĞERLENDİRME PORTALININ TASARIMI VE GELİŞTİRİLMESİ</w:t>
      </w:r>
    </w:p>
    <w:p>
      <w:pPr>
        <w:spacing w:before="120" w:after="240" w:line="360" w:lineRule="auto"/>
        <w:jc w:val="both"/>
      </w:pPr>
      <w:r>
        <w:rPr>
          <w:rFonts w:ascii="Times New Roman" w:hAnsi="Times New Roman"/>
          <w:b w:val="0"/>
          <w:i w:val="0"/>
          <w:color w:val="000000"/>
          <w:sz w:val="24"/>
        </w:rPr>
        <w:t>Çağdaş endüstriyel tedarik zincirlerinde, küçük ve orta ölçekli işletmeler (KOBİ/Alıcı) ile tedarikçiler; kopuk iletişim kanalları, şeffaf olmayan stok takibi, kritik stok tükenme riskleri ve sübjektif tedarikçi değerlendirmeleri nedeniyle operasyonel verimsizliklerle karşılaşmaktadır. Bu bitirme projesinde, alıcı işletmeler ile üretici tedarikçiler arasındaki tüm satın alma döngüsünü dijitalleştiren uçtan uca, bulut tabanlı bir B2B Tedarik Zinciri, Malzeme Pazaryeri ve Dinamik Tedarikçi Performans Puanlama Portalı tasarlanmış ve geliştirilmiştir.</w:t>
      </w:r>
    </w:p>
    <w:p>
      <w:pPr>
        <w:spacing w:before="120" w:after="240" w:line="360" w:lineRule="auto"/>
        <w:jc w:val="both"/>
      </w:pPr>
      <w:r>
        <w:rPr>
          <w:rFonts w:ascii="Times New Roman" w:hAnsi="Times New Roman"/>
          <w:b w:val="0"/>
          <w:i w:val="0"/>
          <w:color w:val="000000"/>
          <w:sz w:val="24"/>
        </w:rPr>
        <w:t>Django ve Django REST Framework (DRF) mimarisiyle geliştirilen platform dört temel modülden oluşmaktadır: (1) Şirketler arası tek tıkla satın alma siparişi oluşturmayı, anlık stok düşümünü ve siparişlerin hedef satıcıya yönlendirilmesini sağlayan B2B Malzeme Pazaryeri; (2) ReportLab motoru ile otomatik yasal standartta PDF Satın Alma Siparişi ve Ticari Fatura üreten, SheetJS motoru ile gerçek Microsoft Excel (.xlsx) analitik raporları dışa aktaran Belge Otomasyonu; (3) Depo stoklarını emniyet eşikleriyle (Threshold) kıyaslayarak kritik stok tükenme uyarıları üreten Emniyet Stoğu Erken Uyarı Sistemi; ve (4) Alıcıların gerçek teslimat incelemelerine dayanan Teslimat Zamanlaması (W1=%40), Sipariş Eksiksizliği (W2=%35) ve Fiyat Tutarlılığı (W3=%25) kriterlerini ağırlıklandıran Çok Kriterli Karar Verme (MCDM) Tedarikçi Skorlama Modeli.</w:t>
      </w:r>
    </w:p>
    <w:p>
      <w:pPr>
        <w:spacing w:before="120" w:after="240" w:line="360" w:lineRule="auto"/>
        <w:jc w:val="both"/>
      </w:pPr>
      <w:r>
        <w:rPr>
          <w:rFonts w:ascii="Times New Roman" w:hAnsi="Times New Roman"/>
          <w:b w:val="0"/>
          <w:i w:val="0"/>
          <w:color w:val="000000"/>
          <w:sz w:val="24"/>
        </w:rPr>
        <w:t>Rol Tabanlı Erişim Kontrolü (RBAC), sayfa yenilemelerinde oturum kalıcılığı ve tam duyarlı görsel arayüzle donatılan sistem, yapılan fonksiyonel testlerle satın alma sürelerini kısalttığını, stok şeffaflığını artırdığını ve tedarikçi değerlendirmelerinde objektifliği sağladığını kanıtlamıştır.</w:t>
      </w:r>
    </w:p>
    <w:p>
      <w:pPr>
        <w:spacing w:before="240" w:after="0" w:line="360" w:lineRule="auto"/>
        <w:jc w:val="both"/>
      </w:pPr>
      <w:r>
        <w:rPr>
          <w:rFonts w:ascii="Times New Roman" w:hAnsi="Times New Roman"/>
          <w:b/>
          <w:i w:val="0"/>
          <w:color w:val="000000"/>
          <w:sz w:val="24"/>
        </w:rPr>
        <w:t>Anahtar Kelimeler: B2B Tedarik Zinciri Yönetimi, Çok Kriterli Karar Verme (ÇKKV), Tedarikçi Performans Puanlama Modeli, Envanter Takibi ve Emniyet Stoğu, Satın Alma Otomasyonu, Rol Tabanlı Erişim Kontrolü (RBAC), Django REST Framework, Yönetim Bilişim Sistemleri (YBS).</w:t>
      </w:r>
    </w:p>
    <w:p>
      <w:r>
        <w:br w:type="page"/>
      </w:r>
    </w:p>
    <w:p>
      <w:pPr>
        <w:spacing w:before="240" w:after="360" w:line="360" w:lineRule="auto"/>
        <w:jc w:val="center"/>
      </w:pPr>
      <w:r>
        <w:rPr>
          <w:rFonts w:ascii="Times New Roman" w:hAnsi="Times New Roman"/>
          <w:b/>
          <w:i w:val="0"/>
          <w:color w:val="000000"/>
          <w:sz w:val="28"/>
        </w:rPr>
        <w:t>TABLE OF CONTENTS</w:t>
      </w:r>
    </w:p>
    <w:tbl>
      <w:tblPr>
        <w:tblW w:type="auto" w:w="0"/>
        <w:jc w:val="center"/>
        <w:tblLook w:firstColumn="1" w:firstRow="1" w:lastColumn="0" w:lastRow="0" w:noHBand="0" w:noVBand="1" w:val="04A0"/>
      </w:tblPr>
      <w:tblGrid>
        <w:gridCol w:w="4255"/>
        <w:gridCol w:w="4255"/>
      </w:tblGrid>
      <w:tr>
        <w:tc>
          <w:tcPr>
            <w:tcW w:type="dxa" w:w="8352"/>
          </w:tcPr>
          <w:p>
            <w:pPr>
              <w:spacing w:before="40" w:after="40"/>
            </w:pPr>
            <w:r>
              <w:rPr>
                <w:rFonts w:ascii="Times New Roman" w:hAnsi="Times New Roman"/>
                <w:b/>
                <w:i w:val="0"/>
                <w:color w:val="000000"/>
                <w:sz w:val="22"/>
              </w:rPr>
              <w:t>APPROVAL PAGE</w:t>
            </w:r>
          </w:p>
        </w:tc>
        <w:tc>
          <w:tcPr>
            <w:tcW w:type="dxa" w:w="1152"/>
          </w:tcPr>
          <w:p>
            <w:pPr>
              <w:spacing w:before="40" w:after="40"/>
              <w:jc w:val="right"/>
            </w:pPr>
            <w:r>
              <w:rPr>
                <w:rFonts w:ascii="Times New Roman" w:hAnsi="Times New Roman"/>
                <w:b/>
                <w:i w:val="0"/>
                <w:color w:val="000000"/>
                <w:sz w:val="22"/>
              </w:rPr>
              <w:t>ii</w:t>
            </w:r>
          </w:p>
        </w:tc>
      </w:tr>
      <w:tr>
        <w:tc>
          <w:tcPr>
            <w:tcW w:type="dxa" w:w="8352"/>
          </w:tcPr>
          <w:p>
            <w:pPr>
              <w:spacing w:before="40" w:after="40"/>
            </w:pPr>
            <w:r>
              <w:rPr>
                <w:rFonts w:ascii="Times New Roman" w:hAnsi="Times New Roman"/>
                <w:b/>
                <w:i w:val="0"/>
                <w:color w:val="000000"/>
                <w:sz w:val="22"/>
              </w:rPr>
              <w:t>DEDICATION</w:t>
            </w:r>
          </w:p>
        </w:tc>
        <w:tc>
          <w:tcPr>
            <w:tcW w:type="dxa" w:w="1152"/>
          </w:tcPr>
          <w:p>
            <w:pPr>
              <w:spacing w:before="40" w:after="40"/>
              <w:jc w:val="right"/>
            </w:pPr>
            <w:r>
              <w:rPr>
                <w:rFonts w:ascii="Times New Roman" w:hAnsi="Times New Roman"/>
                <w:b/>
                <w:i w:val="0"/>
                <w:color w:val="000000"/>
                <w:sz w:val="22"/>
              </w:rPr>
              <w:t>iii</w:t>
            </w:r>
          </w:p>
        </w:tc>
      </w:tr>
      <w:tr>
        <w:tc>
          <w:tcPr>
            <w:tcW w:type="dxa" w:w="8352"/>
          </w:tcPr>
          <w:p>
            <w:pPr>
              <w:spacing w:before="40" w:after="40"/>
            </w:pPr>
            <w:r>
              <w:rPr>
                <w:rFonts w:ascii="Times New Roman" w:hAnsi="Times New Roman"/>
                <w:b/>
                <w:i w:val="0"/>
                <w:color w:val="000000"/>
                <w:sz w:val="22"/>
              </w:rPr>
              <w:t>ACKNOWLEDGEMENTS</w:t>
            </w:r>
          </w:p>
        </w:tc>
        <w:tc>
          <w:tcPr>
            <w:tcW w:type="dxa" w:w="1152"/>
          </w:tcPr>
          <w:p>
            <w:pPr>
              <w:spacing w:before="40" w:after="40"/>
              <w:jc w:val="right"/>
            </w:pPr>
            <w:r>
              <w:rPr>
                <w:rFonts w:ascii="Times New Roman" w:hAnsi="Times New Roman"/>
                <w:b/>
                <w:i w:val="0"/>
                <w:color w:val="000000"/>
                <w:sz w:val="22"/>
              </w:rPr>
              <w:t>iv</w:t>
            </w:r>
          </w:p>
        </w:tc>
      </w:tr>
      <w:tr>
        <w:tc>
          <w:tcPr>
            <w:tcW w:type="dxa" w:w="8352"/>
          </w:tcPr>
          <w:p>
            <w:pPr>
              <w:spacing w:before="40" w:after="40"/>
            </w:pPr>
            <w:r>
              <w:rPr>
                <w:rFonts w:ascii="Times New Roman" w:hAnsi="Times New Roman"/>
                <w:b/>
                <w:i w:val="0"/>
                <w:color w:val="000000"/>
                <w:sz w:val="22"/>
              </w:rPr>
              <w:t>ABSTRACT</w:t>
            </w:r>
          </w:p>
        </w:tc>
        <w:tc>
          <w:tcPr>
            <w:tcW w:type="dxa" w:w="1152"/>
          </w:tcPr>
          <w:p>
            <w:pPr>
              <w:spacing w:before="40" w:after="40"/>
              <w:jc w:val="right"/>
            </w:pPr>
            <w:r>
              <w:rPr>
                <w:rFonts w:ascii="Times New Roman" w:hAnsi="Times New Roman"/>
                <w:b/>
                <w:i w:val="0"/>
                <w:color w:val="000000"/>
                <w:sz w:val="22"/>
              </w:rPr>
              <w:t>v</w:t>
            </w:r>
          </w:p>
        </w:tc>
      </w:tr>
      <w:tr>
        <w:tc>
          <w:tcPr>
            <w:tcW w:type="dxa" w:w="8352"/>
          </w:tcPr>
          <w:p>
            <w:pPr>
              <w:spacing w:before="40" w:after="40"/>
            </w:pPr>
            <w:r>
              <w:rPr>
                <w:rFonts w:ascii="Times New Roman" w:hAnsi="Times New Roman"/>
                <w:b/>
                <w:i w:val="0"/>
                <w:color w:val="000000"/>
                <w:sz w:val="22"/>
              </w:rPr>
              <w:t>ÖZET</w:t>
            </w:r>
          </w:p>
        </w:tc>
        <w:tc>
          <w:tcPr>
            <w:tcW w:type="dxa" w:w="1152"/>
          </w:tcPr>
          <w:p>
            <w:pPr>
              <w:spacing w:before="40" w:after="40"/>
              <w:jc w:val="right"/>
            </w:pPr>
            <w:r>
              <w:rPr>
                <w:rFonts w:ascii="Times New Roman" w:hAnsi="Times New Roman"/>
                <w:b/>
                <w:i w:val="0"/>
                <w:color w:val="000000"/>
                <w:sz w:val="22"/>
              </w:rPr>
              <w:t>vi</w:t>
            </w:r>
          </w:p>
        </w:tc>
      </w:tr>
      <w:tr>
        <w:tc>
          <w:tcPr>
            <w:tcW w:type="dxa" w:w="8352"/>
          </w:tcPr>
          <w:p>
            <w:pPr>
              <w:spacing w:before="40" w:after="40"/>
            </w:pPr>
            <w:r>
              <w:rPr>
                <w:rFonts w:ascii="Times New Roman" w:hAnsi="Times New Roman"/>
                <w:b w:val="0"/>
                <w:i w:val="0"/>
                <w:color w:val="000000"/>
                <w:sz w:val="22"/>
              </w:rPr>
              <w:t>LIST OF FIGURES</w:t>
            </w:r>
          </w:p>
        </w:tc>
        <w:tc>
          <w:tcPr>
            <w:tcW w:type="dxa" w:w="1152"/>
          </w:tcPr>
          <w:p>
            <w:pPr>
              <w:spacing w:before="40" w:after="40"/>
              <w:jc w:val="right"/>
            </w:pPr>
            <w:r>
              <w:rPr>
                <w:rFonts w:ascii="Times New Roman" w:hAnsi="Times New Roman"/>
                <w:b w:val="0"/>
                <w:i w:val="0"/>
                <w:color w:val="000000"/>
                <w:sz w:val="22"/>
              </w:rPr>
              <w:t>viii</w:t>
            </w:r>
          </w:p>
        </w:tc>
      </w:tr>
      <w:tr>
        <w:tc>
          <w:tcPr>
            <w:tcW w:type="dxa" w:w="8352"/>
          </w:tcPr>
          <w:p>
            <w:pPr>
              <w:spacing w:before="40" w:after="40"/>
            </w:pPr>
            <w:r>
              <w:rPr>
                <w:rFonts w:ascii="Times New Roman" w:hAnsi="Times New Roman"/>
                <w:b w:val="0"/>
                <w:i w:val="0"/>
                <w:color w:val="000000"/>
                <w:sz w:val="22"/>
              </w:rPr>
              <w:t>LIST OF TABLES</w:t>
            </w:r>
          </w:p>
        </w:tc>
        <w:tc>
          <w:tcPr>
            <w:tcW w:type="dxa" w:w="1152"/>
          </w:tcPr>
          <w:p>
            <w:pPr>
              <w:spacing w:before="40" w:after="40"/>
              <w:jc w:val="right"/>
            </w:pPr>
            <w:r>
              <w:rPr>
                <w:rFonts w:ascii="Times New Roman" w:hAnsi="Times New Roman"/>
                <w:b w:val="0"/>
                <w:i w:val="0"/>
                <w:color w:val="000000"/>
                <w:sz w:val="22"/>
              </w:rPr>
              <w:t>ix</w:t>
            </w:r>
          </w:p>
        </w:tc>
      </w:tr>
      <w:tr>
        <w:tc>
          <w:tcPr>
            <w:tcW w:type="dxa" w:w="8352"/>
          </w:tcPr>
          <w:p>
            <w:pPr>
              <w:spacing w:before="40" w:after="40"/>
            </w:pPr>
            <w:r>
              <w:rPr>
                <w:rFonts w:ascii="Times New Roman" w:hAnsi="Times New Roman"/>
                <w:b w:val="0"/>
                <w:i w:val="0"/>
                <w:color w:val="000000"/>
                <w:sz w:val="22"/>
              </w:rPr>
              <w:t>LIST OF ABBREVIATIONS &amp; SYMBOLS</w:t>
            </w:r>
          </w:p>
        </w:tc>
        <w:tc>
          <w:tcPr>
            <w:tcW w:type="dxa" w:w="1152"/>
          </w:tcPr>
          <w:p>
            <w:pPr>
              <w:spacing w:before="40" w:after="40"/>
              <w:jc w:val="right"/>
            </w:pPr>
            <w:r>
              <w:rPr>
                <w:rFonts w:ascii="Times New Roman" w:hAnsi="Times New Roman"/>
                <w:b w:val="0"/>
                <w:i w:val="0"/>
                <w:color w:val="000000"/>
                <w:sz w:val="22"/>
              </w:rPr>
              <w:t>x</w:t>
            </w:r>
          </w:p>
        </w:tc>
      </w:tr>
      <w:tr>
        <w:tc>
          <w:tcPr>
            <w:tcW w:type="dxa" w:w="8352"/>
          </w:tcPr>
          <w:p>
            <w:pPr>
              <w:spacing w:before="40" w:after="40"/>
            </w:pPr>
            <w:r>
              <w:rPr>
                <w:rFonts w:ascii="Times New Roman" w:hAnsi="Times New Roman"/>
                <w:b/>
                <w:i w:val="0"/>
                <w:color w:val="000000"/>
                <w:sz w:val="22"/>
              </w:rPr>
              <w:t>CHAPTER 1: INTRODUCTION</w:t>
            </w:r>
          </w:p>
        </w:tc>
        <w:tc>
          <w:tcPr>
            <w:tcW w:type="dxa" w:w="1152"/>
          </w:tcPr>
          <w:p>
            <w:pPr>
              <w:spacing w:before="40" w:after="40"/>
              <w:jc w:val="right"/>
            </w:pPr>
            <w:r>
              <w:rPr>
                <w:rFonts w:ascii="Times New Roman" w:hAnsi="Times New Roman"/>
                <w:b/>
                <w:i w:val="0"/>
                <w:color w:val="000000"/>
                <w:sz w:val="22"/>
              </w:rPr>
              <w:t>1</w:t>
            </w:r>
          </w:p>
        </w:tc>
      </w:tr>
      <w:tr>
        <w:tc>
          <w:tcPr>
            <w:tcW w:type="dxa" w:w="8352"/>
          </w:tcPr>
          <w:p>
            <w:pPr>
              <w:spacing w:before="40" w:after="40"/>
            </w:pPr>
            <w:r>
              <w:rPr>
                <w:rFonts w:ascii="Times New Roman" w:hAnsi="Times New Roman"/>
                <w:b w:val="0"/>
                <w:i w:val="0"/>
                <w:color w:val="000000"/>
                <w:sz w:val="22"/>
              </w:rPr>
              <w:t xml:space="preserve">  1.1 Background and Motivation</w:t>
            </w:r>
          </w:p>
        </w:tc>
        <w:tc>
          <w:tcPr>
            <w:tcW w:type="dxa" w:w="1152"/>
          </w:tcPr>
          <w:p>
            <w:pPr>
              <w:spacing w:before="40" w:after="40"/>
              <w:jc w:val="right"/>
            </w:pPr>
            <w:r>
              <w:rPr>
                <w:rFonts w:ascii="Times New Roman" w:hAnsi="Times New Roman"/>
                <w:b w:val="0"/>
                <w:i w:val="0"/>
                <w:color w:val="000000"/>
                <w:sz w:val="22"/>
              </w:rPr>
              <w:t>1</w:t>
            </w:r>
          </w:p>
        </w:tc>
      </w:tr>
      <w:tr>
        <w:tc>
          <w:tcPr>
            <w:tcW w:type="dxa" w:w="8352"/>
          </w:tcPr>
          <w:p>
            <w:pPr>
              <w:spacing w:before="40" w:after="40"/>
            </w:pPr>
            <w:r>
              <w:rPr>
                <w:rFonts w:ascii="Times New Roman" w:hAnsi="Times New Roman"/>
                <w:b w:val="0"/>
                <w:i w:val="0"/>
                <w:color w:val="000000"/>
                <w:sz w:val="22"/>
              </w:rPr>
              <w:t xml:space="preserve">  1.2 Problem Statement &amp; Industry Challenges</w:t>
            </w:r>
          </w:p>
        </w:tc>
        <w:tc>
          <w:tcPr>
            <w:tcW w:type="dxa" w:w="1152"/>
          </w:tcPr>
          <w:p>
            <w:pPr>
              <w:spacing w:before="40" w:after="40"/>
              <w:jc w:val="right"/>
            </w:pPr>
            <w:r>
              <w:rPr>
                <w:rFonts w:ascii="Times New Roman" w:hAnsi="Times New Roman"/>
                <w:b w:val="0"/>
                <w:i w:val="0"/>
                <w:color w:val="000000"/>
                <w:sz w:val="22"/>
              </w:rPr>
              <w:t>2</w:t>
            </w:r>
          </w:p>
        </w:tc>
      </w:tr>
      <w:tr>
        <w:tc>
          <w:tcPr>
            <w:tcW w:type="dxa" w:w="8352"/>
          </w:tcPr>
          <w:p>
            <w:pPr>
              <w:spacing w:before="40" w:after="40"/>
            </w:pPr>
            <w:r>
              <w:rPr>
                <w:rFonts w:ascii="Times New Roman" w:hAnsi="Times New Roman"/>
                <w:b w:val="0"/>
                <w:i w:val="0"/>
                <w:color w:val="000000"/>
                <w:sz w:val="22"/>
              </w:rPr>
              <w:t xml:space="preserve">  1.3 Project Aim and Objectives</w:t>
            </w:r>
          </w:p>
        </w:tc>
        <w:tc>
          <w:tcPr>
            <w:tcW w:type="dxa" w:w="1152"/>
          </w:tcPr>
          <w:p>
            <w:pPr>
              <w:spacing w:before="40" w:after="40"/>
              <w:jc w:val="right"/>
            </w:pPr>
            <w:r>
              <w:rPr>
                <w:rFonts w:ascii="Times New Roman" w:hAnsi="Times New Roman"/>
                <w:b w:val="0"/>
                <w:i w:val="0"/>
                <w:color w:val="000000"/>
                <w:sz w:val="22"/>
              </w:rPr>
              <w:t>3</w:t>
            </w:r>
          </w:p>
        </w:tc>
      </w:tr>
      <w:tr>
        <w:tc>
          <w:tcPr>
            <w:tcW w:type="dxa" w:w="8352"/>
          </w:tcPr>
          <w:p>
            <w:pPr>
              <w:spacing w:before="40" w:after="40"/>
            </w:pPr>
            <w:r>
              <w:rPr>
                <w:rFonts w:ascii="Times New Roman" w:hAnsi="Times New Roman"/>
                <w:b w:val="0"/>
                <w:i w:val="0"/>
                <w:color w:val="000000"/>
                <w:sz w:val="22"/>
              </w:rPr>
              <w:t xml:space="preserve">  1.4 Significance and Scope of the Project</w:t>
            </w:r>
          </w:p>
        </w:tc>
        <w:tc>
          <w:tcPr>
            <w:tcW w:type="dxa" w:w="1152"/>
          </w:tcPr>
          <w:p>
            <w:pPr>
              <w:spacing w:before="40" w:after="40"/>
              <w:jc w:val="right"/>
            </w:pPr>
            <w:r>
              <w:rPr>
                <w:rFonts w:ascii="Times New Roman" w:hAnsi="Times New Roman"/>
                <w:b w:val="0"/>
                <w:i w:val="0"/>
                <w:color w:val="000000"/>
                <w:sz w:val="22"/>
              </w:rPr>
              <w:t>4</w:t>
            </w:r>
          </w:p>
        </w:tc>
      </w:tr>
      <w:tr>
        <w:tc>
          <w:tcPr>
            <w:tcW w:type="dxa" w:w="8352"/>
          </w:tcPr>
          <w:p>
            <w:pPr>
              <w:spacing w:before="40" w:after="40"/>
            </w:pPr>
            <w:r>
              <w:rPr>
                <w:rFonts w:ascii="Times New Roman" w:hAnsi="Times New Roman"/>
                <w:b w:val="0"/>
                <w:i w:val="0"/>
                <w:color w:val="000000"/>
                <w:sz w:val="22"/>
              </w:rPr>
              <w:t xml:space="preserve">  1.5 Structure of the Report</w:t>
            </w:r>
          </w:p>
        </w:tc>
        <w:tc>
          <w:tcPr>
            <w:tcW w:type="dxa" w:w="1152"/>
          </w:tcPr>
          <w:p>
            <w:pPr>
              <w:spacing w:before="40" w:after="40"/>
              <w:jc w:val="right"/>
            </w:pPr>
            <w:r>
              <w:rPr>
                <w:rFonts w:ascii="Times New Roman" w:hAnsi="Times New Roman"/>
                <w:b w:val="0"/>
                <w:i w:val="0"/>
                <w:color w:val="000000"/>
                <w:sz w:val="22"/>
              </w:rPr>
              <w:t>5</w:t>
            </w:r>
          </w:p>
        </w:tc>
      </w:tr>
      <w:tr>
        <w:tc>
          <w:tcPr>
            <w:tcW w:type="dxa" w:w="8352"/>
          </w:tcPr>
          <w:p>
            <w:pPr>
              <w:spacing w:before="40" w:after="40"/>
            </w:pPr>
            <w:r>
              <w:rPr>
                <w:rFonts w:ascii="Times New Roman" w:hAnsi="Times New Roman"/>
                <w:b/>
                <w:i w:val="0"/>
                <w:color w:val="000000"/>
                <w:sz w:val="22"/>
              </w:rPr>
              <w:t>CHAPTER 2: LITERATURE REVIEW &amp; THEORETICAL FRAMEWORK</w:t>
            </w:r>
          </w:p>
        </w:tc>
        <w:tc>
          <w:tcPr>
            <w:tcW w:type="dxa" w:w="1152"/>
          </w:tcPr>
          <w:p>
            <w:pPr>
              <w:spacing w:before="40" w:after="40"/>
              <w:jc w:val="right"/>
            </w:pPr>
            <w:r>
              <w:rPr>
                <w:rFonts w:ascii="Times New Roman" w:hAnsi="Times New Roman"/>
                <w:b/>
                <w:i w:val="0"/>
                <w:color w:val="000000"/>
                <w:sz w:val="22"/>
              </w:rPr>
              <w:t>6</w:t>
            </w:r>
          </w:p>
        </w:tc>
      </w:tr>
      <w:tr>
        <w:tc>
          <w:tcPr>
            <w:tcW w:type="dxa" w:w="8352"/>
          </w:tcPr>
          <w:p>
            <w:pPr>
              <w:spacing w:before="40" w:after="40"/>
            </w:pPr>
            <w:r>
              <w:rPr>
                <w:rFonts w:ascii="Times New Roman" w:hAnsi="Times New Roman"/>
                <w:b w:val="0"/>
                <w:i w:val="0"/>
                <w:color w:val="000000"/>
                <w:sz w:val="22"/>
              </w:rPr>
              <w:t xml:space="preserve">  2.1 Supply Chain Management (SCM) in the Digital Age</w:t>
            </w:r>
          </w:p>
        </w:tc>
        <w:tc>
          <w:tcPr>
            <w:tcW w:type="dxa" w:w="1152"/>
          </w:tcPr>
          <w:p>
            <w:pPr>
              <w:spacing w:before="40" w:after="40"/>
              <w:jc w:val="right"/>
            </w:pPr>
            <w:r>
              <w:rPr>
                <w:rFonts w:ascii="Times New Roman" w:hAnsi="Times New Roman"/>
                <w:b w:val="0"/>
                <w:i w:val="0"/>
                <w:color w:val="000000"/>
                <w:sz w:val="22"/>
              </w:rPr>
              <w:t>6</w:t>
            </w:r>
          </w:p>
        </w:tc>
      </w:tr>
      <w:tr>
        <w:tc>
          <w:tcPr>
            <w:tcW w:type="dxa" w:w="8352"/>
          </w:tcPr>
          <w:p>
            <w:pPr>
              <w:spacing w:before="40" w:after="40"/>
            </w:pPr>
            <w:r>
              <w:rPr>
                <w:rFonts w:ascii="Times New Roman" w:hAnsi="Times New Roman"/>
                <w:b w:val="0"/>
                <w:i w:val="0"/>
                <w:color w:val="000000"/>
                <w:sz w:val="22"/>
              </w:rPr>
              <w:t xml:space="preserve">  2.2 Inventory Management &amp; Safety Stock Buffer Models</w:t>
            </w:r>
          </w:p>
        </w:tc>
        <w:tc>
          <w:tcPr>
            <w:tcW w:type="dxa" w:w="1152"/>
          </w:tcPr>
          <w:p>
            <w:pPr>
              <w:spacing w:before="40" w:after="40"/>
              <w:jc w:val="right"/>
            </w:pPr>
            <w:r>
              <w:rPr>
                <w:rFonts w:ascii="Times New Roman" w:hAnsi="Times New Roman"/>
                <w:b w:val="0"/>
                <w:i w:val="0"/>
                <w:color w:val="000000"/>
                <w:sz w:val="22"/>
              </w:rPr>
              <w:t>8</w:t>
            </w:r>
          </w:p>
        </w:tc>
      </w:tr>
      <w:tr>
        <w:tc>
          <w:tcPr>
            <w:tcW w:type="dxa" w:w="8352"/>
          </w:tcPr>
          <w:p>
            <w:pPr>
              <w:spacing w:before="40" w:after="40"/>
            </w:pPr>
            <w:r>
              <w:rPr>
                <w:rFonts w:ascii="Times New Roman" w:hAnsi="Times New Roman"/>
                <w:b w:val="0"/>
                <w:i w:val="0"/>
                <w:color w:val="000000"/>
                <w:sz w:val="22"/>
              </w:rPr>
              <w:t xml:space="preserve">  2.3 Multi-Criteria Decision Making (MCDM) in Supplier Evaluation</w:t>
            </w:r>
          </w:p>
        </w:tc>
        <w:tc>
          <w:tcPr>
            <w:tcW w:type="dxa" w:w="1152"/>
          </w:tcPr>
          <w:p>
            <w:pPr>
              <w:spacing w:before="40" w:after="40"/>
              <w:jc w:val="right"/>
            </w:pPr>
            <w:r>
              <w:rPr>
                <w:rFonts w:ascii="Times New Roman" w:hAnsi="Times New Roman"/>
                <w:b w:val="0"/>
                <w:i w:val="0"/>
                <w:color w:val="000000"/>
                <w:sz w:val="22"/>
              </w:rPr>
              <w:t>10</w:t>
            </w:r>
          </w:p>
        </w:tc>
      </w:tr>
      <w:tr>
        <w:tc>
          <w:tcPr>
            <w:tcW w:type="dxa" w:w="8352"/>
          </w:tcPr>
          <w:p>
            <w:pPr>
              <w:spacing w:before="40" w:after="40"/>
            </w:pPr>
            <w:r>
              <w:rPr>
                <w:rFonts w:ascii="Times New Roman" w:hAnsi="Times New Roman"/>
                <w:b w:val="0"/>
                <w:i w:val="0"/>
                <w:color w:val="000000"/>
                <w:sz w:val="22"/>
              </w:rPr>
              <w:t xml:space="preserve">  2.4 Automated Document Workflows in Enterprise Systems</w:t>
            </w:r>
          </w:p>
        </w:tc>
        <w:tc>
          <w:tcPr>
            <w:tcW w:type="dxa" w:w="1152"/>
          </w:tcPr>
          <w:p>
            <w:pPr>
              <w:spacing w:before="40" w:after="40"/>
              <w:jc w:val="right"/>
            </w:pPr>
            <w:r>
              <w:rPr>
                <w:rFonts w:ascii="Times New Roman" w:hAnsi="Times New Roman"/>
                <w:b w:val="0"/>
                <w:i w:val="0"/>
                <w:color w:val="000000"/>
                <w:sz w:val="22"/>
              </w:rPr>
              <w:t>12</w:t>
            </w:r>
          </w:p>
        </w:tc>
      </w:tr>
      <w:tr>
        <w:tc>
          <w:tcPr>
            <w:tcW w:type="dxa" w:w="8352"/>
          </w:tcPr>
          <w:p>
            <w:pPr>
              <w:spacing w:before="40" w:after="40"/>
            </w:pPr>
            <w:r>
              <w:rPr>
                <w:rFonts w:ascii="Times New Roman" w:hAnsi="Times New Roman"/>
                <w:b w:val="0"/>
                <w:i w:val="0"/>
                <w:color w:val="000000"/>
                <w:sz w:val="22"/>
              </w:rPr>
              <w:t xml:space="preserve">  2.5 Comparative Analysis of Existing Supply Chain Solutions</w:t>
            </w:r>
          </w:p>
        </w:tc>
        <w:tc>
          <w:tcPr>
            <w:tcW w:type="dxa" w:w="1152"/>
          </w:tcPr>
          <w:p>
            <w:pPr>
              <w:spacing w:before="40" w:after="40"/>
              <w:jc w:val="right"/>
            </w:pPr>
            <w:r>
              <w:rPr>
                <w:rFonts w:ascii="Times New Roman" w:hAnsi="Times New Roman"/>
                <w:b w:val="0"/>
                <w:i w:val="0"/>
                <w:color w:val="000000"/>
                <w:sz w:val="22"/>
              </w:rPr>
              <w:t>13</w:t>
            </w:r>
          </w:p>
        </w:tc>
      </w:tr>
      <w:tr>
        <w:tc>
          <w:tcPr>
            <w:tcW w:type="dxa" w:w="8352"/>
          </w:tcPr>
          <w:p>
            <w:pPr>
              <w:spacing w:before="40" w:after="40"/>
            </w:pPr>
            <w:r>
              <w:rPr>
                <w:rFonts w:ascii="Times New Roman" w:hAnsi="Times New Roman"/>
                <w:b/>
                <w:i w:val="0"/>
                <w:color w:val="000000"/>
                <w:sz w:val="22"/>
              </w:rPr>
              <w:t>CHAPTER 3: SYSTEM DESIGN &amp; ARCHITECTURE</w:t>
            </w:r>
          </w:p>
        </w:tc>
        <w:tc>
          <w:tcPr>
            <w:tcW w:type="dxa" w:w="1152"/>
          </w:tcPr>
          <w:p>
            <w:pPr>
              <w:spacing w:before="40" w:after="40"/>
              <w:jc w:val="right"/>
            </w:pPr>
            <w:r>
              <w:rPr>
                <w:rFonts w:ascii="Times New Roman" w:hAnsi="Times New Roman"/>
                <w:b/>
                <w:i w:val="0"/>
                <w:color w:val="000000"/>
                <w:sz w:val="22"/>
              </w:rPr>
              <w:t>15</w:t>
            </w:r>
          </w:p>
        </w:tc>
      </w:tr>
      <w:tr>
        <w:tc>
          <w:tcPr>
            <w:tcW w:type="dxa" w:w="8352"/>
          </w:tcPr>
          <w:p>
            <w:pPr>
              <w:spacing w:before="40" w:after="40"/>
            </w:pPr>
            <w:r>
              <w:rPr>
                <w:rFonts w:ascii="Times New Roman" w:hAnsi="Times New Roman"/>
                <w:b w:val="0"/>
                <w:i w:val="0"/>
                <w:color w:val="000000"/>
                <w:sz w:val="22"/>
              </w:rPr>
              <w:t xml:space="preserve">  3.1 Architectural Overview (Three-Tier Client-Server Architecture)</w:t>
            </w:r>
          </w:p>
        </w:tc>
        <w:tc>
          <w:tcPr>
            <w:tcW w:type="dxa" w:w="1152"/>
          </w:tcPr>
          <w:p>
            <w:pPr>
              <w:spacing w:before="40" w:after="40"/>
              <w:jc w:val="right"/>
            </w:pPr>
            <w:r>
              <w:rPr>
                <w:rFonts w:ascii="Times New Roman" w:hAnsi="Times New Roman"/>
                <w:b w:val="0"/>
                <w:i w:val="0"/>
                <w:color w:val="000000"/>
                <w:sz w:val="22"/>
              </w:rPr>
              <w:t>15</w:t>
            </w:r>
          </w:p>
        </w:tc>
      </w:tr>
      <w:tr>
        <w:tc>
          <w:tcPr>
            <w:tcW w:type="dxa" w:w="8352"/>
          </w:tcPr>
          <w:p>
            <w:pPr>
              <w:spacing w:before="40" w:after="40"/>
            </w:pPr>
            <w:r>
              <w:rPr>
                <w:rFonts w:ascii="Times New Roman" w:hAnsi="Times New Roman"/>
                <w:b w:val="0"/>
                <w:i w:val="0"/>
                <w:color w:val="000000"/>
                <w:sz w:val="22"/>
              </w:rPr>
              <w:t xml:space="preserve">  3.2 Database Schema &amp; Entity-Relationship (ER) Design</w:t>
            </w:r>
          </w:p>
        </w:tc>
        <w:tc>
          <w:tcPr>
            <w:tcW w:type="dxa" w:w="1152"/>
          </w:tcPr>
          <w:p>
            <w:pPr>
              <w:spacing w:before="40" w:after="40"/>
              <w:jc w:val="right"/>
            </w:pPr>
            <w:r>
              <w:rPr>
                <w:rFonts w:ascii="Times New Roman" w:hAnsi="Times New Roman"/>
                <w:b w:val="0"/>
                <w:i w:val="0"/>
                <w:color w:val="000000"/>
                <w:sz w:val="22"/>
              </w:rPr>
              <w:t>17</w:t>
            </w:r>
          </w:p>
        </w:tc>
      </w:tr>
      <w:tr>
        <w:tc>
          <w:tcPr>
            <w:tcW w:type="dxa" w:w="8352"/>
          </w:tcPr>
          <w:p>
            <w:pPr>
              <w:spacing w:before="40" w:after="40"/>
            </w:pPr>
            <w:r>
              <w:rPr>
                <w:rFonts w:ascii="Times New Roman" w:hAnsi="Times New Roman"/>
                <w:b w:val="0"/>
                <w:i w:val="0"/>
                <w:color w:val="000000"/>
                <w:sz w:val="22"/>
              </w:rPr>
              <w:t xml:space="preserve">  3.3 Security Architecture &amp; Role-Based Access Control (RBAC)</w:t>
            </w:r>
          </w:p>
        </w:tc>
        <w:tc>
          <w:tcPr>
            <w:tcW w:type="dxa" w:w="1152"/>
          </w:tcPr>
          <w:p>
            <w:pPr>
              <w:spacing w:before="40" w:after="40"/>
              <w:jc w:val="right"/>
            </w:pPr>
            <w:r>
              <w:rPr>
                <w:rFonts w:ascii="Times New Roman" w:hAnsi="Times New Roman"/>
                <w:b w:val="0"/>
                <w:i w:val="0"/>
                <w:color w:val="000000"/>
                <w:sz w:val="22"/>
              </w:rPr>
              <w:t>20</w:t>
            </w:r>
          </w:p>
        </w:tc>
      </w:tr>
      <w:tr>
        <w:tc>
          <w:tcPr>
            <w:tcW w:type="dxa" w:w="8352"/>
          </w:tcPr>
          <w:p>
            <w:pPr>
              <w:spacing w:before="40" w:after="40"/>
            </w:pPr>
            <w:r>
              <w:rPr>
                <w:rFonts w:ascii="Times New Roman" w:hAnsi="Times New Roman"/>
                <w:b w:val="0"/>
                <w:i w:val="0"/>
                <w:color w:val="000000"/>
                <w:sz w:val="22"/>
              </w:rPr>
              <w:t xml:space="preserve">  3.4 Mathematical Formulation of the Supplier Scoring Algorithm</w:t>
            </w:r>
          </w:p>
        </w:tc>
        <w:tc>
          <w:tcPr>
            <w:tcW w:type="dxa" w:w="1152"/>
          </w:tcPr>
          <w:p>
            <w:pPr>
              <w:spacing w:before="40" w:after="40"/>
              <w:jc w:val="right"/>
            </w:pPr>
            <w:r>
              <w:rPr>
                <w:rFonts w:ascii="Times New Roman" w:hAnsi="Times New Roman"/>
                <w:b w:val="0"/>
                <w:i w:val="0"/>
                <w:color w:val="000000"/>
                <w:sz w:val="22"/>
              </w:rPr>
              <w:t>22</w:t>
            </w:r>
          </w:p>
        </w:tc>
      </w:tr>
      <w:tr>
        <w:tc>
          <w:tcPr>
            <w:tcW w:type="dxa" w:w="8352"/>
          </w:tcPr>
          <w:p>
            <w:pPr>
              <w:spacing w:before="40" w:after="40"/>
            </w:pPr>
            <w:r>
              <w:rPr>
                <w:rFonts w:ascii="Times New Roman" w:hAnsi="Times New Roman"/>
                <w:b w:val="0"/>
                <w:i w:val="0"/>
                <w:color w:val="000000"/>
                <w:sz w:val="22"/>
              </w:rPr>
              <w:t xml:space="preserve">  3.5 Safety Stock Threshold &amp; Early Warning Logic</w:t>
            </w:r>
          </w:p>
        </w:tc>
        <w:tc>
          <w:tcPr>
            <w:tcW w:type="dxa" w:w="1152"/>
          </w:tcPr>
          <w:p>
            <w:pPr>
              <w:spacing w:before="40" w:after="40"/>
              <w:jc w:val="right"/>
            </w:pPr>
            <w:r>
              <w:rPr>
                <w:rFonts w:ascii="Times New Roman" w:hAnsi="Times New Roman"/>
                <w:b w:val="0"/>
                <w:i w:val="0"/>
                <w:color w:val="000000"/>
                <w:sz w:val="22"/>
              </w:rPr>
              <w:t>24</w:t>
            </w:r>
          </w:p>
        </w:tc>
      </w:tr>
      <w:tr>
        <w:tc>
          <w:tcPr>
            <w:tcW w:type="dxa" w:w="8352"/>
          </w:tcPr>
          <w:p>
            <w:pPr>
              <w:spacing w:before="40" w:after="40"/>
            </w:pPr>
            <w:r>
              <w:rPr>
                <w:rFonts w:ascii="Times New Roman" w:hAnsi="Times New Roman"/>
                <w:b/>
                <w:i w:val="0"/>
                <w:color w:val="000000"/>
                <w:sz w:val="22"/>
              </w:rPr>
              <w:t>CHAPTER 4: IMPLEMENTATION &amp; MODULE DEVELOPMENT</w:t>
            </w:r>
          </w:p>
        </w:tc>
        <w:tc>
          <w:tcPr>
            <w:tcW w:type="dxa" w:w="1152"/>
          </w:tcPr>
          <w:p>
            <w:pPr>
              <w:spacing w:before="40" w:after="40"/>
              <w:jc w:val="right"/>
            </w:pPr>
            <w:r>
              <w:rPr>
                <w:rFonts w:ascii="Times New Roman" w:hAnsi="Times New Roman"/>
                <w:b/>
                <w:i w:val="0"/>
                <w:color w:val="000000"/>
                <w:sz w:val="22"/>
              </w:rPr>
              <w:t>26</w:t>
            </w:r>
          </w:p>
        </w:tc>
      </w:tr>
      <w:tr>
        <w:tc>
          <w:tcPr>
            <w:tcW w:type="dxa" w:w="8352"/>
          </w:tcPr>
          <w:p>
            <w:pPr>
              <w:spacing w:before="40" w:after="40"/>
            </w:pPr>
            <w:r>
              <w:rPr>
                <w:rFonts w:ascii="Times New Roman" w:hAnsi="Times New Roman"/>
                <w:b w:val="0"/>
                <w:i w:val="0"/>
                <w:color w:val="000000"/>
                <w:sz w:val="22"/>
              </w:rPr>
              <w:t xml:space="preserve">  4.1 Backend REST API Development (Django REST Framework)</w:t>
            </w:r>
          </w:p>
        </w:tc>
        <w:tc>
          <w:tcPr>
            <w:tcW w:type="dxa" w:w="1152"/>
          </w:tcPr>
          <w:p>
            <w:pPr>
              <w:spacing w:before="40" w:after="40"/>
              <w:jc w:val="right"/>
            </w:pPr>
            <w:r>
              <w:rPr>
                <w:rFonts w:ascii="Times New Roman" w:hAnsi="Times New Roman"/>
                <w:b w:val="0"/>
                <w:i w:val="0"/>
                <w:color w:val="000000"/>
                <w:sz w:val="22"/>
              </w:rPr>
              <w:t>26</w:t>
            </w:r>
          </w:p>
        </w:tc>
      </w:tr>
      <w:tr>
        <w:tc>
          <w:tcPr>
            <w:tcW w:type="dxa" w:w="8352"/>
          </w:tcPr>
          <w:p>
            <w:pPr>
              <w:spacing w:before="40" w:after="40"/>
            </w:pPr>
            <w:r>
              <w:rPr>
                <w:rFonts w:ascii="Times New Roman" w:hAnsi="Times New Roman"/>
                <w:b w:val="0"/>
                <w:i w:val="0"/>
                <w:color w:val="000000"/>
                <w:sz w:val="22"/>
              </w:rPr>
              <w:t xml:space="preserve">  4.2 B2B Material Marketplace &amp; Order Routing Implementation</w:t>
            </w:r>
          </w:p>
        </w:tc>
        <w:tc>
          <w:tcPr>
            <w:tcW w:type="dxa" w:w="1152"/>
          </w:tcPr>
          <w:p>
            <w:pPr>
              <w:spacing w:before="40" w:after="40"/>
              <w:jc w:val="right"/>
            </w:pPr>
            <w:r>
              <w:rPr>
                <w:rFonts w:ascii="Times New Roman" w:hAnsi="Times New Roman"/>
                <w:b w:val="0"/>
                <w:i w:val="0"/>
                <w:color w:val="000000"/>
                <w:sz w:val="22"/>
              </w:rPr>
              <w:t>28</w:t>
            </w:r>
          </w:p>
        </w:tc>
      </w:tr>
      <w:tr>
        <w:tc>
          <w:tcPr>
            <w:tcW w:type="dxa" w:w="8352"/>
          </w:tcPr>
          <w:p>
            <w:pPr>
              <w:spacing w:before="40" w:after="40"/>
            </w:pPr>
            <w:r>
              <w:rPr>
                <w:rFonts w:ascii="Times New Roman" w:hAnsi="Times New Roman"/>
                <w:b w:val="0"/>
                <w:i w:val="0"/>
                <w:color w:val="000000"/>
                <w:sz w:val="22"/>
              </w:rPr>
              <w:t xml:space="preserve">  4.3 Automated PDF Document Generation Engine (ReportLab)</w:t>
            </w:r>
          </w:p>
        </w:tc>
        <w:tc>
          <w:tcPr>
            <w:tcW w:type="dxa" w:w="1152"/>
          </w:tcPr>
          <w:p>
            <w:pPr>
              <w:spacing w:before="40" w:after="40"/>
              <w:jc w:val="right"/>
            </w:pPr>
            <w:r>
              <w:rPr>
                <w:rFonts w:ascii="Times New Roman" w:hAnsi="Times New Roman"/>
                <w:b w:val="0"/>
                <w:i w:val="0"/>
                <w:color w:val="000000"/>
                <w:sz w:val="22"/>
              </w:rPr>
              <w:t>30</w:t>
            </w:r>
          </w:p>
        </w:tc>
      </w:tr>
      <w:tr>
        <w:tc>
          <w:tcPr>
            <w:tcW w:type="dxa" w:w="8352"/>
          </w:tcPr>
          <w:p>
            <w:pPr>
              <w:spacing w:before="40" w:after="40"/>
            </w:pPr>
            <w:r>
              <w:rPr>
                <w:rFonts w:ascii="Times New Roman" w:hAnsi="Times New Roman"/>
                <w:b w:val="0"/>
                <w:i w:val="0"/>
                <w:color w:val="000000"/>
                <w:sz w:val="22"/>
              </w:rPr>
              <w:t xml:space="preserve">  4.4 Real-Time Microsoft Excel (.xlsx) Export Engine (SheetJS)</w:t>
            </w:r>
          </w:p>
        </w:tc>
        <w:tc>
          <w:tcPr>
            <w:tcW w:type="dxa" w:w="1152"/>
          </w:tcPr>
          <w:p>
            <w:pPr>
              <w:spacing w:before="40" w:after="40"/>
              <w:jc w:val="right"/>
            </w:pPr>
            <w:r>
              <w:rPr>
                <w:rFonts w:ascii="Times New Roman" w:hAnsi="Times New Roman"/>
                <w:b w:val="0"/>
                <w:i w:val="0"/>
                <w:color w:val="000000"/>
                <w:sz w:val="22"/>
              </w:rPr>
              <w:t>32</w:t>
            </w:r>
          </w:p>
        </w:tc>
      </w:tr>
      <w:tr>
        <w:tc>
          <w:tcPr>
            <w:tcW w:type="dxa" w:w="8352"/>
          </w:tcPr>
          <w:p>
            <w:pPr>
              <w:spacing w:before="40" w:after="40"/>
            </w:pPr>
            <w:r>
              <w:rPr>
                <w:rFonts w:ascii="Times New Roman" w:hAnsi="Times New Roman"/>
                <w:b w:val="0"/>
                <w:i w:val="0"/>
                <w:color w:val="000000"/>
                <w:sz w:val="22"/>
              </w:rPr>
              <w:t xml:space="preserve">  4.5 Supplier Performance Scorecard &amp; Leaderboard Module</w:t>
            </w:r>
          </w:p>
        </w:tc>
        <w:tc>
          <w:tcPr>
            <w:tcW w:type="dxa" w:w="1152"/>
          </w:tcPr>
          <w:p>
            <w:pPr>
              <w:spacing w:before="40" w:after="40"/>
              <w:jc w:val="right"/>
            </w:pPr>
            <w:r>
              <w:rPr>
                <w:rFonts w:ascii="Times New Roman" w:hAnsi="Times New Roman"/>
                <w:b w:val="0"/>
                <w:i w:val="0"/>
                <w:color w:val="000000"/>
                <w:sz w:val="22"/>
              </w:rPr>
              <w:t>34</w:t>
            </w:r>
          </w:p>
        </w:tc>
      </w:tr>
      <w:tr>
        <w:tc>
          <w:tcPr>
            <w:tcW w:type="dxa" w:w="8352"/>
          </w:tcPr>
          <w:p>
            <w:pPr>
              <w:spacing w:before="40" w:after="40"/>
            </w:pPr>
            <w:r>
              <w:rPr>
                <w:rFonts w:ascii="Times New Roman" w:hAnsi="Times New Roman"/>
                <w:b w:val="0"/>
                <w:i w:val="0"/>
                <w:color w:val="000000"/>
                <w:sz w:val="22"/>
              </w:rPr>
              <w:t xml:space="preserve">  4.6 Client-Side Session Persistence &amp; Responsive Modal Engineering</w:t>
            </w:r>
          </w:p>
        </w:tc>
        <w:tc>
          <w:tcPr>
            <w:tcW w:type="dxa" w:w="1152"/>
          </w:tcPr>
          <w:p>
            <w:pPr>
              <w:spacing w:before="40" w:after="40"/>
              <w:jc w:val="right"/>
            </w:pPr>
            <w:r>
              <w:rPr>
                <w:rFonts w:ascii="Times New Roman" w:hAnsi="Times New Roman"/>
                <w:b w:val="0"/>
                <w:i w:val="0"/>
                <w:color w:val="000000"/>
                <w:sz w:val="22"/>
              </w:rPr>
              <w:t>36</w:t>
            </w:r>
          </w:p>
        </w:tc>
      </w:tr>
      <w:tr>
        <w:tc>
          <w:tcPr>
            <w:tcW w:type="dxa" w:w="8352"/>
          </w:tcPr>
          <w:p>
            <w:pPr>
              <w:spacing w:before="40" w:after="40"/>
            </w:pPr>
            <w:r>
              <w:rPr>
                <w:rFonts w:ascii="Times New Roman" w:hAnsi="Times New Roman"/>
                <w:b/>
                <w:i w:val="0"/>
                <w:color w:val="000000"/>
                <w:sz w:val="22"/>
              </w:rPr>
              <w:t>CHAPTER 5: TESTING, EXPERIMENTAL RESULTS &amp; VALIDATION</w:t>
            </w:r>
          </w:p>
        </w:tc>
        <w:tc>
          <w:tcPr>
            <w:tcW w:type="dxa" w:w="1152"/>
          </w:tcPr>
          <w:p>
            <w:pPr>
              <w:spacing w:before="40" w:after="40"/>
              <w:jc w:val="right"/>
            </w:pPr>
            <w:r>
              <w:rPr>
                <w:rFonts w:ascii="Times New Roman" w:hAnsi="Times New Roman"/>
                <w:b/>
                <w:i w:val="0"/>
                <w:color w:val="000000"/>
                <w:sz w:val="22"/>
              </w:rPr>
              <w:t>38</w:t>
            </w:r>
          </w:p>
        </w:tc>
      </w:tr>
      <w:tr>
        <w:tc>
          <w:tcPr>
            <w:tcW w:type="dxa" w:w="8352"/>
          </w:tcPr>
          <w:p>
            <w:pPr>
              <w:spacing w:before="40" w:after="40"/>
            </w:pPr>
            <w:r>
              <w:rPr>
                <w:rFonts w:ascii="Times New Roman" w:hAnsi="Times New Roman"/>
                <w:b w:val="0"/>
                <w:i w:val="0"/>
                <w:color w:val="000000"/>
                <w:sz w:val="22"/>
              </w:rPr>
              <w:t xml:space="preserve">  5.1 Experimental Setup &amp; Seed Dataset</w:t>
            </w:r>
          </w:p>
        </w:tc>
        <w:tc>
          <w:tcPr>
            <w:tcW w:type="dxa" w:w="1152"/>
          </w:tcPr>
          <w:p>
            <w:pPr>
              <w:spacing w:before="40" w:after="40"/>
              <w:jc w:val="right"/>
            </w:pPr>
            <w:r>
              <w:rPr>
                <w:rFonts w:ascii="Times New Roman" w:hAnsi="Times New Roman"/>
                <w:b w:val="0"/>
                <w:i w:val="0"/>
                <w:color w:val="000000"/>
                <w:sz w:val="22"/>
              </w:rPr>
              <w:t>38</w:t>
            </w:r>
          </w:p>
        </w:tc>
      </w:tr>
      <w:tr>
        <w:tc>
          <w:tcPr>
            <w:tcW w:type="dxa" w:w="8352"/>
          </w:tcPr>
          <w:p>
            <w:pPr>
              <w:spacing w:before="40" w:after="40"/>
            </w:pPr>
            <w:r>
              <w:rPr>
                <w:rFonts w:ascii="Times New Roman" w:hAnsi="Times New Roman"/>
                <w:b w:val="0"/>
                <w:i w:val="0"/>
                <w:color w:val="000000"/>
                <w:sz w:val="22"/>
              </w:rPr>
              <w:t xml:space="preserve">  5.2 End-to-End Procurement Lifecycle Functional Verification</w:t>
            </w:r>
          </w:p>
        </w:tc>
        <w:tc>
          <w:tcPr>
            <w:tcW w:type="dxa" w:w="1152"/>
          </w:tcPr>
          <w:p>
            <w:pPr>
              <w:spacing w:before="40" w:after="40"/>
              <w:jc w:val="right"/>
            </w:pPr>
            <w:r>
              <w:rPr>
                <w:rFonts w:ascii="Times New Roman" w:hAnsi="Times New Roman"/>
                <w:b w:val="0"/>
                <w:i w:val="0"/>
                <w:color w:val="000000"/>
                <w:sz w:val="22"/>
              </w:rPr>
              <w:t>39</w:t>
            </w:r>
          </w:p>
        </w:tc>
      </w:tr>
      <w:tr>
        <w:tc>
          <w:tcPr>
            <w:tcW w:type="dxa" w:w="8352"/>
          </w:tcPr>
          <w:p>
            <w:pPr>
              <w:spacing w:before="40" w:after="40"/>
            </w:pPr>
            <w:r>
              <w:rPr>
                <w:rFonts w:ascii="Times New Roman" w:hAnsi="Times New Roman"/>
                <w:b w:val="0"/>
                <w:i w:val="0"/>
                <w:color w:val="000000"/>
                <w:sz w:val="22"/>
              </w:rPr>
              <w:t xml:space="preserve">  5.3 Supplier Evaluation &amp; Dynamic Scoring Algorithm Validation</w:t>
            </w:r>
          </w:p>
        </w:tc>
        <w:tc>
          <w:tcPr>
            <w:tcW w:type="dxa" w:w="1152"/>
          </w:tcPr>
          <w:p>
            <w:pPr>
              <w:spacing w:before="40" w:after="40"/>
              <w:jc w:val="right"/>
            </w:pPr>
            <w:r>
              <w:rPr>
                <w:rFonts w:ascii="Times New Roman" w:hAnsi="Times New Roman"/>
                <w:b w:val="0"/>
                <w:i w:val="0"/>
                <w:color w:val="000000"/>
                <w:sz w:val="22"/>
              </w:rPr>
              <w:t>41</w:t>
            </w:r>
          </w:p>
        </w:tc>
      </w:tr>
      <w:tr>
        <w:tc>
          <w:tcPr>
            <w:tcW w:type="dxa" w:w="8352"/>
          </w:tcPr>
          <w:p>
            <w:pPr>
              <w:spacing w:before="40" w:after="40"/>
            </w:pPr>
            <w:r>
              <w:rPr>
                <w:rFonts w:ascii="Times New Roman" w:hAnsi="Times New Roman"/>
                <w:b w:val="0"/>
                <w:i w:val="0"/>
                <w:color w:val="000000"/>
                <w:sz w:val="22"/>
              </w:rPr>
              <w:t xml:space="preserve">  5.4 Usability, Performance, and Cloud Deployment Verification</w:t>
            </w:r>
          </w:p>
        </w:tc>
        <w:tc>
          <w:tcPr>
            <w:tcW w:type="dxa" w:w="1152"/>
          </w:tcPr>
          <w:p>
            <w:pPr>
              <w:spacing w:before="40" w:after="40"/>
              <w:jc w:val="right"/>
            </w:pPr>
            <w:r>
              <w:rPr>
                <w:rFonts w:ascii="Times New Roman" w:hAnsi="Times New Roman"/>
                <w:b w:val="0"/>
                <w:i w:val="0"/>
                <w:color w:val="000000"/>
                <w:sz w:val="22"/>
              </w:rPr>
              <w:t>43</w:t>
            </w:r>
          </w:p>
        </w:tc>
      </w:tr>
      <w:tr>
        <w:tc>
          <w:tcPr>
            <w:tcW w:type="dxa" w:w="8352"/>
          </w:tcPr>
          <w:p>
            <w:pPr>
              <w:spacing w:before="40" w:after="40"/>
            </w:pPr>
            <w:r>
              <w:rPr>
                <w:rFonts w:ascii="Times New Roman" w:hAnsi="Times New Roman"/>
                <w:b/>
                <w:i w:val="0"/>
                <w:color w:val="000000"/>
                <w:sz w:val="22"/>
              </w:rPr>
              <w:t>CHAPTER 6: CONCLUSION &amp; FUTURE WORK</w:t>
            </w:r>
          </w:p>
        </w:tc>
        <w:tc>
          <w:tcPr>
            <w:tcW w:type="dxa" w:w="1152"/>
          </w:tcPr>
          <w:p>
            <w:pPr>
              <w:spacing w:before="40" w:after="40"/>
              <w:jc w:val="right"/>
            </w:pPr>
            <w:r>
              <w:rPr>
                <w:rFonts w:ascii="Times New Roman" w:hAnsi="Times New Roman"/>
                <w:b/>
                <w:i w:val="0"/>
                <w:color w:val="000000"/>
                <w:sz w:val="22"/>
              </w:rPr>
              <w:t>45</w:t>
            </w:r>
          </w:p>
        </w:tc>
      </w:tr>
      <w:tr>
        <w:tc>
          <w:tcPr>
            <w:tcW w:type="dxa" w:w="8352"/>
          </w:tcPr>
          <w:p>
            <w:pPr>
              <w:spacing w:before="40" w:after="40"/>
            </w:pPr>
            <w:r>
              <w:rPr>
                <w:rFonts w:ascii="Times New Roman" w:hAnsi="Times New Roman"/>
                <w:b w:val="0"/>
                <w:i w:val="0"/>
                <w:color w:val="000000"/>
                <w:sz w:val="22"/>
              </w:rPr>
              <w:t xml:space="preserve">  6.1 Summary of Accomplishments</w:t>
            </w:r>
          </w:p>
        </w:tc>
        <w:tc>
          <w:tcPr>
            <w:tcW w:type="dxa" w:w="1152"/>
          </w:tcPr>
          <w:p>
            <w:pPr>
              <w:spacing w:before="40" w:after="40"/>
              <w:jc w:val="right"/>
            </w:pPr>
            <w:r>
              <w:rPr>
                <w:rFonts w:ascii="Times New Roman" w:hAnsi="Times New Roman"/>
                <w:b w:val="0"/>
                <w:i w:val="0"/>
                <w:color w:val="000000"/>
                <w:sz w:val="22"/>
              </w:rPr>
              <w:t>45</w:t>
            </w:r>
          </w:p>
        </w:tc>
      </w:tr>
      <w:tr>
        <w:tc>
          <w:tcPr>
            <w:tcW w:type="dxa" w:w="8352"/>
          </w:tcPr>
          <w:p>
            <w:pPr>
              <w:spacing w:before="40" w:after="40"/>
            </w:pPr>
            <w:r>
              <w:rPr>
                <w:rFonts w:ascii="Times New Roman" w:hAnsi="Times New Roman"/>
                <w:b w:val="0"/>
                <w:i w:val="0"/>
                <w:color w:val="000000"/>
                <w:sz w:val="22"/>
              </w:rPr>
              <w:t xml:space="preserve">  6.2 Limitations of the Current Implementation</w:t>
            </w:r>
          </w:p>
        </w:tc>
        <w:tc>
          <w:tcPr>
            <w:tcW w:type="dxa" w:w="1152"/>
          </w:tcPr>
          <w:p>
            <w:pPr>
              <w:spacing w:before="40" w:after="40"/>
              <w:jc w:val="right"/>
            </w:pPr>
            <w:r>
              <w:rPr>
                <w:rFonts w:ascii="Times New Roman" w:hAnsi="Times New Roman"/>
                <w:b w:val="0"/>
                <w:i w:val="0"/>
                <w:color w:val="000000"/>
                <w:sz w:val="22"/>
              </w:rPr>
              <w:t>46</w:t>
            </w:r>
          </w:p>
        </w:tc>
      </w:tr>
      <w:tr>
        <w:tc>
          <w:tcPr>
            <w:tcW w:type="dxa" w:w="8352"/>
          </w:tcPr>
          <w:p>
            <w:pPr>
              <w:spacing w:before="40" w:after="40"/>
            </w:pPr>
            <w:r>
              <w:rPr>
                <w:rFonts w:ascii="Times New Roman" w:hAnsi="Times New Roman"/>
                <w:b w:val="0"/>
                <w:i w:val="0"/>
                <w:color w:val="000000"/>
                <w:sz w:val="22"/>
              </w:rPr>
              <w:t xml:space="preserve">  6.3 Future Directions &amp; Scalability Roadmap</w:t>
            </w:r>
          </w:p>
        </w:tc>
        <w:tc>
          <w:tcPr>
            <w:tcW w:type="dxa" w:w="1152"/>
          </w:tcPr>
          <w:p>
            <w:pPr>
              <w:spacing w:before="40" w:after="40"/>
              <w:jc w:val="right"/>
            </w:pPr>
            <w:r>
              <w:rPr>
                <w:rFonts w:ascii="Times New Roman" w:hAnsi="Times New Roman"/>
                <w:b w:val="0"/>
                <w:i w:val="0"/>
                <w:color w:val="000000"/>
                <w:sz w:val="22"/>
              </w:rPr>
              <w:t>47</w:t>
            </w:r>
          </w:p>
        </w:tc>
      </w:tr>
      <w:tr>
        <w:tc>
          <w:tcPr>
            <w:tcW w:type="dxa" w:w="8352"/>
          </w:tcPr>
          <w:p>
            <w:pPr>
              <w:spacing w:before="40" w:after="40"/>
            </w:pPr>
            <w:r>
              <w:rPr>
                <w:rFonts w:ascii="Times New Roman" w:hAnsi="Times New Roman"/>
                <w:b/>
                <w:i w:val="0"/>
                <w:color w:val="000000"/>
                <w:sz w:val="22"/>
              </w:rPr>
              <w:t>REFERENCES</w:t>
            </w:r>
          </w:p>
        </w:tc>
        <w:tc>
          <w:tcPr>
            <w:tcW w:type="dxa" w:w="1152"/>
          </w:tcPr>
          <w:p>
            <w:pPr>
              <w:spacing w:before="40" w:after="40"/>
              <w:jc w:val="right"/>
            </w:pPr>
            <w:r>
              <w:rPr>
                <w:rFonts w:ascii="Times New Roman" w:hAnsi="Times New Roman"/>
                <w:b/>
                <w:i w:val="0"/>
                <w:color w:val="000000"/>
                <w:sz w:val="22"/>
              </w:rPr>
              <w:t>49</w:t>
            </w:r>
          </w:p>
        </w:tc>
      </w:tr>
      <w:tr>
        <w:tc>
          <w:tcPr>
            <w:tcW w:type="dxa" w:w="8352"/>
          </w:tcPr>
          <w:p>
            <w:pPr>
              <w:spacing w:before="40" w:after="40"/>
            </w:pPr>
            <w:r>
              <w:rPr>
                <w:rFonts w:ascii="Times New Roman" w:hAnsi="Times New Roman"/>
                <w:b w:val="0"/>
                <w:i w:val="0"/>
                <w:color w:val="000000"/>
                <w:sz w:val="22"/>
              </w:rPr>
              <w:t>APPENDIX A: SYSTEM INTERFACE SCREENSHOTS &amp; USER FLOWS</w:t>
            </w:r>
          </w:p>
        </w:tc>
        <w:tc>
          <w:tcPr>
            <w:tcW w:type="dxa" w:w="1152"/>
          </w:tcPr>
          <w:p>
            <w:pPr>
              <w:spacing w:before="40" w:after="40"/>
              <w:jc w:val="right"/>
            </w:pPr>
            <w:r>
              <w:rPr>
                <w:rFonts w:ascii="Times New Roman" w:hAnsi="Times New Roman"/>
                <w:b w:val="0"/>
                <w:i w:val="0"/>
                <w:color w:val="000000"/>
                <w:sz w:val="22"/>
              </w:rPr>
              <w:t>52</w:t>
            </w:r>
          </w:p>
        </w:tc>
      </w:tr>
      <w:tr>
        <w:tc>
          <w:tcPr>
            <w:tcW w:type="dxa" w:w="8352"/>
          </w:tcPr>
          <w:p>
            <w:pPr>
              <w:spacing w:before="40" w:after="40"/>
            </w:pPr>
            <w:r>
              <w:rPr>
                <w:rFonts w:ascii="Times New Roman" w:hAnsi="Times New Roman"/>
                <w:b w:val="0"/>
                <w:i w:val="0"/>
                <w:color w:val="000000"/>
                <w:sz w:val="22"/>
              </w:rPr>
              <w:t>APPENDIX B: HARDWARE &amp; SOFTWARE SPECIFICATIONS</w:t>
            </w:r>
          </w:p>
        </w:tc>
        <w:tc>
          <w:tcPr>
            <w:tcW w:type="dxa" w:w="1152"/>
          </w:tcPr>
          <w:p>
            <w:pPr>
              <w:spacing w:before="40" w:after="40"/>
              <w:jc w:val="right"/>
            </w:pPr>
            <w:r>
              <w:rPr>
                <w:rFonts w:ascii="Times New Roman" w:hAnsi="Times New Roman"/>
                <w:b w:val="0"/>
                <w:i w:val="0"/>
                <w:color w:val="000000"/>
                <w:sz w:val="22"/>
              </w:rPr>
              <w:t>56</w:t>
            </w:r>
          </w:p>
        </w:tc>
      </w:tr>
    </w:tbl>
    <w:p>
      <w:r>
        <w:br w:type="page"/>
      </w:r>
    </w:p>
    <w:p>
      <w:pPr>
        <w:spacing w:before="240" w:after="360" w:line="360" w:lineRule="auto"/>
        <w:jc w:val="center"/>
      </w:pPr>
      <w:r>
        <w:rPr>
          <w:rFonts w:ascii="Times New Roman" w:hAnsi="Times New Roman"/>
          <w:b/>
          <w:i w:val="0"/>
          <w:color w:val="000000"/>
          <w:sz w:val="28"/>
        </w:rPr>
        <w:t>LIST OF ABBREVIATIONS &amp; SYMBOLS</w:t>
      </w:r>
    </w:p>
    <w:tbl>
      <w:tblPr>
        <w:tblW w:type="auto" w:w="0"/>
        <w:jc w:val="center"/>
        <w:tblLook w:firstColumn="1" w:firstRow="1" w:lastColumn="0" w:lastRow="0" w:noHBand="0" w:noVBand="1" w:val="04A0"/>
      </w:tblPr>
      <w:tblGrid>
        <w:gridCol w:w="4255"/>
        <w:gridCol w:w="4255"/>
      </w:tblGrid>
      <w:tr>
        <w:tc>
          <w:tcPr>
            <w:tcW w:type="dxa" w:w="2592"/>
          </w:tcPr>
          <w:p>
            <w:pPr>
              <w:spacing w:before="40" w:after="40"/>
            </w:pPr>
            <w:r>
              <w:rPr>
                <w:rFonts w:ascii="Times New Roman" w:hAnsi="Times New Roman"/>
                <w:b/>
                <w:i w:val="0"/>
                <w:color w:val="000000"/>
                <w:sz w:val="20"/>
              </w:rPr>
              <w:t>API</w:t>
            </w:r>
          </w:p>
        </w:tc>
        <w:tc>
          <w:tcPr>
            <w:tcW w:type="dxa" w:w="6912"/>
          </w:tcPr>
          <w:p>
            <w:pPr>
              <w:spacing w:before="40" w:after="40"/>
            </w:pPr>
            <w:r>
              <w:rPr>
                <w:rFonts w:ascii="Times New Roman" w:hAnsi="Times New Roman"/>
                <w:b w:val="0"/>
                <w:i w:val="0"/>
                <w:color w:val="000000"/>
                <w:sz w:val="20"/>
              </w:rPr>
              <w:t>Application Programming Interface</w:t>
            </w:r>
          </w:p>
        </w:tc>
      </w:tr>
      <w:tr>
        <w:tc>
          <w:tcPr>
            <w:tcW w:type="dxa" w:w="2592"/>
          </w:tcPr>
          <w:p>
            <w:pPr>
              <w:spacing w:before="40" w:after="40"/>
            </w:pPr>
            <w:r>
              <w:rPr>
                <w:rFonts w:ascii="Times New Roman" w:hAnsi="Times New Roman"/>
                <w:b/>
                <w:i w:val="0"/>
                <w:color w:val="000000"/>
                <w:sz w:val="20"/>
              </w:rPr>
              <w:t>B2B</w:t>
            </w:r>
          </w:p>
        </w:tc>
        <w:tc>
          <w:tcPr>
            <w:tcW w:type="dxa" w:w="6912"/>
          </w:tcPr>
          <w:p>
            <w:pPr>
              <w:spacing w:before="40" w:after="40"/>
            </w:pPr>
            <w:r>
              <w:rPr>
                <w:rFonts w:ascii="Times New Roman" w:hAnsi="Times New Roman"/>
                <w:b w:val="0"/>
                <w:i w:val="0"/>
                <w:color w:val="000000"/>
                <w:sz w:val="20"/>
              </w:rPr>
              <w:t>Business-to-Business</w:t>
            </w:r>
          </w:p>
        </w:tc>
      </w:tr>
      <w:tr>
        <w:tc>
          <w:tcPr>
            <w:tcW w:type="dxa" w:w="2592"/>
          </w:tcPr>
          <w:p>
            <w:pPr>
              <w:spacing w:before="40" w:after="40"/>
            </w:pPr>
            <w:r>
              <w:rPr>
                <w:rFonts w:ascii="Times New Roman" w:hAnsi="Times New Roman"/>
                <w:b/>
                <w:i w:val="0"/>
                <w:color w:val="000000"/>
                <w:sz w:val="20"/>
              </w:rPr>
              <w:t>CSRF</w:t>
            </w:r>
          </w:p>
        </w:tc>
        <w:tc>
          <w:tcPr>
            <w:tcW w:type="dxa" w:w="6912"/>
          </w:tcPr>
          <w:p>
            <w:pPr>
              <w:spacing w:before="40" w:after="40"/>
            </w:pPr>
            <w:r>
              <w:rPr>
                <w:rFonts w:ascii="Times New Roman" w:hAnsi="Times New Roman"/>
                <w:b w:val="0"/>
                <w:i w:val="0"/>
                <w:color w:val="000000"/>
                <w:sz w:val="20"/>
              </w:rPr>
              <w:t>Cross-Site Request Forgery</w:t>
            </w:r>
          </w:p>
        </w:tc>
      </w:tr>
      <w:tr>
        <w:tc>
          <w:tcPr>
            <w:tcW w:type="dxa" w:w="2592"/>
          </w:tcPr>
          <w:p>
            <w:pPr>
              <w:spacing w:before="40" w:after="40"/>
            </w:pPr>
            <w:r>
              <w:rPr>
                <w:rFonts w:ascii="Times New Roman" w:hAnsi="Times New Roman"/>
                <w:b/>
                <w:i w:val="0"/>
                <w:color w:val="000000"/>
                <w:sz w:val="20"/>
              </w:rPr>
              <w:t>DRF</w:t>
            </w:r>
          </w:p>
        </w:tc>
        <w:tc>
          <w:tcPr>
            <w:tcW w:type="dxa" w:w="6912"/>
          </w:tcPr>
          <w:p>
            <w:pPr>
              <w:spacing w:before="40" w:after="40"/>
            </w:pPr>
            <w:r>
              <w:rPr>
                <w:rFonts w:ascii="Times New Roman" w:hAnsi="Times New Roman"/>
                <w:b w:val="0"/>
                <w:i w:val="0"/>
                <w:color w:val="000000"/>
                <w:sz w:val="20"/>
              </w:rPr>
              <w:t>Django REST Framework</w:t>
            </w:r>
          </w:p>
        </w:tc>
      </w:tr>
      <w:tr>
        <w:tc>
          <w:tcPr>
            <w:tcW w:type="dxa" w:w="2592"/>
          </w:tcPr>
          <w:p>
            <w:pPr>
              <w:spacing w:before="40" w:after="40"/>
            </w:pPr>
            <w:r>
              <w:rPr>
                <w:rFonts w:ascii="Times New Roman" w:hAnsi="Times New Roman"/>
                <w:b/>
                <w:i w:val="0"/>
                <w:color w:val="000000"/>
                <w:sz w:val="20"/>
              </w:rPr>
              <w:t>ER</w:t>
            </w:r>
          </w:p>
        </w:tc>
        <w:tc>
          <w:tcPr>
            <w:tcW w:type="dxa" w:w="6912"/>
          </w:tcPr>
          <w:p>
            <w:pPr>
              <w:spacing w:before="40" w:after="40"/>
            </w:pPr>
            <w:r>
              <w:rPr>
                <w:rFonts w:ascii="Times New Roman" w:hAnsi="Times New Roman"/>
                <w:b w:val="0"/>
                <w:i w:val="0"/>
                <w:color w:val="000000"/>
                <w:sz w:val="20"/>
              </w:rPr>
              <w:t>Entity-Relationship</w:t>
            </w:r>
          </w:p>
        </w:tc>
      </w:tr>
      <w:tr>
        <w:tc>
          <w:tcPr>
            <w:tcW w:type="dxa" w:w="2592"/>
          </w:tcPr>
          <w:p>
            <w:pPr>
              <w:spacing w:before="40" w:after="40"/>
            </w:pPr>
            <w:r>
              <w:rPr>
                <w:rFonts w:ascii="Times New Roman" w:hAnsi="Times New Roman"/>
                <w:b/>
                <w:i w:val="0"/>
                <w:color w:val="000000"/>
                <w:sz w:val="20"/>
              </w:rPr>
              <w:t>HTTP</w:t>
            </w:r>
          </w:p>
        </w:tc>
        <w:tc>
          <w:tcPr>
            <w:tcW w:type="dxa" w:w="6912"/>
          </w:tcPr>
          <w:p>
            <w:pPr>
              <w:spacing w:before="40" w:after="40"/>
            </w:pPr>
            <w:r>
              <w:rPr>
                <w:rFonts w:ascii="Times New Roman" w:hAnsi="Times New Roman"/>
                <w:b w:val="0"/>
                <w:i w:val="0"/>
                <w:color w:val="000000"/>
                <w:sz w:val="20"/>
              </w:rPr>
              <w:t>Hypertext Transfer Protocol</w:t>
            </w:r>
          </w:p>
        </w:tc>
      </w:tr>
      <w:tr>
        <w:tc>
          <w:tcPr>
            <w:tcW w:type="dxa" w:w="2592"/>
          </w:tcPr>
          <w:p>
            <w:pPr>
              <w:spacing w:before="40" w:after="40"/>
            </w:pPr>
            <w:r>
              <w:rPr>
                <w:rFonts w:ascii="Times New Roman" w:hAnsi="Times New Roman"/>
                <w:b/>
                <w:i w:val="0"/>
                <w:color w:val="000000"/>
                <w:sz w:val="20"/>
              </w:rPr>
              <w:t>JSON</w:t>
            </w:r>
          </w:p>
        </w:tc>
        <w:tc>
          <w:tcPr>
            <w:tcW w:type="dxa" w:w="6912"/>
          </w:tcPr>
          <w:p>
            <w:pPr>
              <w:spacing w:before="40" w:after="40"/>
            </w:pPr>
            <w:r>
              <w:rPr>
                <w:rFonts w:ascii="Times New Roman" w:hAnsi="Times New Roman"/>
                <w:b w:val="0"/>
                <w:i w:val="0"/>
                <w:color w:val="000000"/>
                <w:sz w:val="20"/>
              </w:rPr>
              <w:t>JavaScript Object Notation</w:t>
            </w:r>
          </w:p>
        </w:tc>
      </w:tr>
      <w:tr>
        <w:tc>
          <w:tcPr>
            <w:tcW w:type="dxa" w:w="2592"/>
          </w:tcPr>
          <w:p>
            <w:pPr>
              <w:spacing w:before="40" w:after="40"/>
            </w:pPr>
            <w:r>
              <w:rPr>
                <w:rFonts w:ascii="Times New Roman" w:hAnsi="Times New Roman"/>
                <w:b/>
                <w:i w:val="0"/>
                <w:color w:val="000000"/>
                <w:sz w:val="20"/>
              </w:rPr>
              <w:t>MCDM</w:t>
            </w:r>
          </w:p>
        </w:tc>
        <w:tc>
          <w:tcPr>
            <w:tcW w:type="dxa" w:w="6912"/>
          </w:tcPr>
          <w:p>
            <w:pPr>
              <w:spacing w:before="40" w:after="40"/>
            </w:pPr>
            <w:r>
              <w:rPr>
                <w:rFonts w:ascii="Times New Roman" w:hAnsi="Times New Roman"/>
                <w:b w:val="0"/>
                <w:i w:val="0"/>
                <w:color w:val="000000"/>
                <w:sz w:val="20"/>
              </w:rPr>
              <w:t>Multi-Criteria Decision Making</w:t>
            </w:r>
          </w:p>
        </w:tc>
      </w:tr>
      <w:tr>
        <w:tc>
          <w:tcPr>
            <w:tcW w:type="dxa" w:w="2592"/>
          </w:tcPr>
          <w:p>
            <w:pPr>
              <w:spacing w:before="40" w:after="40"/>
            </w:pPr>
            <w:r>
              <w:rPr>
                <w:rFonts w:ascii="Times New Roman" w:hAnsi="Times New Roman"/>
                <w:b/>
                <w:i w:val="0"/>
                <w:color w:val="000000"/>
                <w:sz w:val="20"/>
              </w:rPr>
              <w:t>MIS</w:t>
            </w:r>
          </w:p>
        </w:tc>
        <w:tc>
          <w:tcPr>
            <w:tcW w:type="dxa" w:w="6912"/>
          </w:tcPr>
          <w:p>
            <w:pPr>
              <w:spacing w:before="40" w:after="40"/>
            </w:pPr>
            <w:r>
              <w:rPr>
                <w:rFonts w:ascii="Times New Roman" w:hAnsi="Times New Roman"/>
                <w:b w:val="0"/>
                <w:i w:val="0"/>
                <w:color w:val="000000"/>
                <w:sz w:val="20"/>
              </w:rPr>
              <w:t>Management Information Systems</w:t>
            </w:r>
          </w:p>
        </w:tc>
      </w:tr>
      <w:tr>
        <w:tc>
          <w:tcPr>
            <w:tcW w:type="dxa" w:w="2592"/>
          </w:tcPr>
          <w:p>
            <w:pPr>
              <w:spacing w:before="40" w:after="40"/>
            </w:pPr>
            <w:r>
              <w:rPr>
                <w:rFonts w:ascii="Times New Roman" w:hAnsi="Times New Roman"/>
                <w:b/>
                <w:i w:val="0"/>
                <w:color w:val="000000"/>
                <w:sz w:val="20"/>
              </w:rPr>
              <w:t>ORM</w:t>
            </w:r>
          </w:p>
        </w:tc>
        <w:tc>
          <w:tcPr>
            <w:tcW w:type="dxa" w:w="6912"/>
          </w:tcPr>
          <w:p>
            <w:pPr>
              <w:spacing w:before="40" w:after="40"/>
            </w:pPr>
            <w:r>
              <w:rPr>
                <w:rFonts w:ascii="Times New Roman" w:hAnsi="Times New Roman"/>
                <w:b w:val="0"/>
                <w:i w:val="0"/>
                <w:color w:val="000000"/>
                <w:sz w:val="20"/>
              </w:rPr>
              <w:t>Object-Relational Mapping</w:t>
            </w:r>
          </w:p>
        </w:tc>
      </w:tr>
      <w:tr>
        <w:tc>
          <w:tcPr>
            <w:tcW w:type="dxa" w:w="2592"/>
          </w:tcPr>
          <w:p>
            <w:pPr>
              <w:spacing w:before="40" w:after="40"/>
            </w:pPr>
            <w:r>
              <w:rPr>
                <w:rFonts w:ascii="Times New Roman" w:hAnsi="Times New Roman"/>
                <w:b/>
                <w:i w:val="0"/>
                <w:color w:val="000000"/>
                <w:sz w:val="20"/>
              </w:rPr>
              <w:t>PDF</w:t>
            </w:r>
          </w:p>
        </w:tc>
        <w:tc>
          <w:tcPr>
            <w:tcW w:type="dxa" w:w="6912"/>
          </w:tcPr>
          <w:p>
            <w:pPr>
              <w:spacing w:before="40" w:after="40"/>
            </w:pPr>
            <w:r>
              <w:rPr>
                <w:rFonts w:ascii="Times New Roman" w:hAnsi="Times New Roman"/>
                <w:b w:val="0"/>
                <w:i w:val="0"/>
                <w:color w:val="000000"/>
                <w:sz w:val="20"/>
              </w:rPr>
              <w:t>Portable Document Format</w:t>
            </w:r>
          </w:p>
        </w:tc>
      </w:tr>
      <w:tr>
        <w:tc>
          <w:tcPr>
            <w:tcW w:type="dxa" w:w="2592"/>
          </w:tcPr>
          <w:p>
            <w:pPr>
              <w:spacing w:before="40" w:after="40"/>
            </w:pPr>
            <w:r>
              <w:rPr>
                <w:rFonts w:ascii="Times New Roman" w:hAnsi="Times New Roman"/>
                <w:b/>
                <w:i w:val="0"/>
                <w:color w:val="000000"/>
                <w:sz w:val="20"/>
              </w:rPr>
              <w:t>PO</w:t>
            </w:r>
          </w:p>
        </w:tc>
        <w:tc>
          <w:tcPr>
            <w:tcW w:type="dxa" w:w="6912"/>
          </w:tcPr>
          <w:p>
            <w:pPr>
              <w:spacing w:before="40" w:after="40"/>
            </w:pPr>
            <w:r>
              <w:rPr>
                <w:rFonts w:ascii="Times New Roman" w:hAnsi="Times New Roman"/>
                <w:b w:val="0"/>
                <w:i w:val="0"/>
                <w:color w:val="000000"/>
                <w:sz w:val="20"/>
              </w:rPr>
              <w:t>Purchase Order</w:t>
            </w:r>
          </w:p>
        </w:tc>
      </w:tr>
      <w:tr>
        <w:tc>
          <w:tcPr>
            <w:tcW w:type="dxa" w:w="2592"/>
          </w:tcPr>
          <w:p>
            <w:pPr>
              <w:spacing w:before="40" w:after="40"/>
            </w:pPr>
            <w:r>
              <w:rPr>
                <w:rFonts w:ascii="Times New Roman" w:hAnsi="Times New Roman"/>
                <w:b/>
                <w:i w:val="0"/>
                <w:color w:val="000000"/>
                <w:sz w:val="20"/>
              </w:rPr>
              <w:t>RBAC</w:t>
            </w:r>
          </w:p>
        </w:tc>
        <w:tc>
          <w:tcPr>
            <w:tcW w:type="dxa" w:w="6912"/>
          </w:tcPr>
          <w:p>
            <w:pPr>
              <w:spacing w:before="40" w:after="40"/>
            </w:pPr>
            <w:r>
              <w:rPr>
                <w:rFonts w:ascii="Times New Roman" w:hAnsi="Times New Roman"/>
                <w:b w:val="0"/>
                <w:i w:val="0"/>
                <w:color w:val="000000"/>
                <w:sz w:val="20"/>
              </w:rPr>
              <w:t>Role-Based Access Control</w:t>
            </w:r>
          </w:p>
        </w:tc>
      </w:tr>
      <w:tr>
        <w:tc>
          <w:tcPr>
            <w:tcW w:type="dxa" w:w="2592"/>
          </w:tcPr>
          <w:p>
            <w:pPr>
              <w:spacing w:before="40" w:after="40"/>
            </w:pPr>
            <w:r>
              <w:rPr>
                <w:rFonts w:ascii="Times New Roman" w:hAnsi="Times New Roman"/>
                <w:b/>
                <w:i w:val="0"/>
                <w:color w:val="000000"/>
                <w:sz w:val="20"/>
              </w:rPr>
              <w:t>REST</w:t>
            </w:r>
          </w:p>
        </w:tc>
        <w:tc>
          <w:tcPr>
            <w:tcW w:type="dxa" w:w="6912"/>
          </w:tcPr>
          <w:p>
            <w:pPr>
              <w:spacing w:before="40" w:after="40"/>
            </w:pPr>
            <w:r>
              <w:rPr>
                <w:rFonts w:ascii="Times New Roman" w:hAnsi="Times New Roman"/>
                <w:b w:val="0"/>
                <w:i w:val="0"/>
                <w:color w:val="000000"/>
                <w:sz w:val="20"/>
              </w:rPr>
              <w:t>Representational State Transfer</w:t>
            </w:r>
          </w:p>
        </w:tc>
      </w:tr>
      <w:tr>
        <w:tc>
          <w:tcPr>
            <w:tcW w:type="dxa" w:w="2592"/>
          </w:tcPr>
          <w:p>
            <w:pPr>
              <w:spacing w:before="40" w:after="40"/>
            </w:pPr>
            <w:r>
              <w:rPr>
                <w:rFonts w:ascii="Times New Roman" w:hAnsi="Times New Roman"/>
                <w:b/>
                <w:i w:val="0"/>
                <w:color w:val="000000"/>
                <w:sz w:val="20"/>
              </w:rPr>
              <w:t>SCM</w:t>
            </w:r>
          </w:p>
        </w:tc>
        <w:tc>
          <w:tcPr>
            <w:tcW w:type="dxa" w:w="6912"/>
          </w:tcPr>
          <w:p>
            <w:pPr>
              <w:spacing w:before="40" w:after="40"/>
            </w:pPr>
            <w:r>
              <w:rPr>
                <w:rFonts w:ascii="Times New Roman" w:hAnsi="Times New Roman"/>
                <w:b w:val="0"/>
                <w:i w:val="0"/>
                <w:color w:val="000000"/>
                <w:sz w:val="20"/>
              </w:rPr>
              <w:t>Supply Chain Management</w:t>
            </w:r>
          </w:p>
        </w:tc>
      </w:tr>
      <w:tr>
        <w:tc>
          <w:tcPr>
            <w:tcW w:type="dxa" w:w="2592"/>
          </w:tcPr>
          <w:p>
            <w:pPr>
              <w:spacing w:before="40" w:after="40"/>
            </w:pPr>
            <w:r>
              <w:rPr>
                <w:rFonts w:ascii="Times New Roman" w:hAnsi="Times New Roman"/>
                <w:b/>
                <w:i w:val="0"/>
                <w:color w:val="000000"/>
                <w:sz w:val="20"/>
              </w:rPr>
              <w:t>SKU</w:t>
            </w:r>
          </w:p>
        </w:tc>
        <w:tc>
          <w:tcPr>
            <w:tcW w:type="dxa" w:w="6912"/>
          </w:tcPr>
          <w:p>
            <w:pPr>
              <w:spacing w:before="40" w:after="40"/>
            </w:pPr>
            <w:r>
              <w:rPr>
                <w:rFonts w:ascii="Times New Roman" w:hAnsi="Times New Roman"/>
                <w:b w:val="0"/>
                <w:i w:val="0"/>
                <w:color w:val="000000"/>
                <w:sz w:val="20"/>
              </w:rPr>
              <w:t>Stock Keeping Unit</w:t>
            </w:r>
          </w:p>
        </w:tc>
      </w:tr>
      <w:tr>
        <w:tc>
          <w:tcPr>
            <w:tcW w:type="dxa" w:w="2592"/>
          </w:tcPr>
          <w:p>
            <w:pPr>
              <w:spacing w:before="40" w:after="40"/>
            </w:pPr>
            <w:r>
              <w:rPr>
                <w:rFonts w:ascii="Times New Roman" w:hAnsi="Times New Roman"/>
                <w:b/>
                <w:i w:val="0"/>
                <w:color w:val="000000"/>
                <w:sz w:val="20"/>
              </w:rPr>
              <w:t>SME</w:t>
            </w:r>
          </w:p>
        </w:tc>
        <w:tc>
          <w:tcPr>
            <w:tcW w:type="dxa" w:w="6912"/>
          </w:tcPr>
          <w:p>
            <w:pPr>
              <w:spacing w:before="40" w:after="40"/>
            </w:pPr>
            <w:r>
              <w:rPr>
                <w:rFonts w:ascii="Times New Roman" w:hAnsi="Times New Roman"/>
                <w:b w:val="0"/>
                <w:i w:val="0"/>
                <w:color w:val="000000"/>
                <w:sz w:val="20"/>
              </w:rPr>
              <w:t>Small and Medium-sized Enterprises</w:t>
            </w:r>
          </w:p>
        </w:tc>
      </w:tr>
      <w:tr>
        <w:tc>
          <w:tcPr>
            <w:tcW w:type="dxa" w:w="2592"/>
          </w:tcPr>
          <w:p>
            <w:pPr>
              <w:spacing w:before="40" w:after="40"/>
            </w:pPr>
            <w:r>
              <w:rPr>
                <w:rFonts w:ascii="Times New Roman" w:hAnsi="Times New Roman"/>
                <w:b/>
                <w:i w:val="0"/>
                <w:color w:val="000000"/>
                <w:sz w:val="20"/>
              </w:rPr>
              <w:t>SQL</w:t>
            </w:r>
          </w:p>
        </w:tc>
        <w:tc>
          <w:tcPr>
            <w:tcW w:type="dxa" w:w="6912"/>
          </w:tcPr>
          <w:p>
            <w:pPr>
              <w:spacing w:before="40" w:after="40"/>
            </w:pPr>
            <w:r>
              <w:rPr>
                <w:rFonts w:ascii="Times New Roman" w:hAnsi="Times New Roman"/>
                <w:b w:val="0"/>
                <w:i w:val="0"/>
                <w:color w:val="000000"/>
                <w:sz w:val="20"/>
              </w:rPr>
              <w:t>Structured Query Language</w:t>
            </w:r>
          </w:p>
        </w:tc>
      </w:tr>
      <w:tr>
        <w:tc>
          <w:tcPr>
            <w:tcW w:type="dxa" w:w="2592"/>
          </w:tcPr>
          <w:p>
            <w:pPr>
              <w:spacing w:before="40" w:after="40"/>
            </w:pPr>
            <w:r>
              <w:rPr>
                <w:rFonts w:ascii="Times New Roman" w:hAnsi="Times New Roman"/>
                <w:b/>
                <w:i w:val="0"/>
                <w:color w:val="000000"/>
                <w:sz w:val="20"/>
              </w:rPr>
              <w:t>UI / UX</w:t>
            </w:r>
          </w:p>
        </w:tc>
        <w:tc>
          <w:tcPr>
            <w:tcW w:type="dxa" w:w="6912"/>
          </w:tcPr>
          <w:p>
            <w:pPr>
              <w:spacing w:before="40" w:after="40"/>
            </w:pPr>
            <w:r>
              <w:rPr>
                <w:rFonts w:ascii="Times New Roman" w:hAnsi="Times New Roman"/>
                <w:b w:val="0"/>
                <w:i w:val="0"/>
                <w:color w:val="000000"/>
                <w:sz w:val="20"/>
              </w:rPr>
              <w:t>User Interface / User Experience</w:t>
            </w:r>
          </w:p>
        </w:tc>
      </w:tr>
      <w:tr>
        <w:tc>
          <w:tcPr>
            <w:tcW w:type="dxa" w:w="2592"/>
          </w:tcPr>
          <w:p>
            <w:pPr>
              <w:spacing w:before="40" w:after="40"/>
            </w:pPr>
            <w:r>
              <w:rPr>
                <w:rFonts w:ascii="Times New Roman" w:hAnsi="Times New Roman"/>
                <w:b/>
                <w:i w:val="0"/>
                <w:color w:val="000000"/>
                <w:sz w:val="20"/>
              </w:rPr>
              <w:t>WSGI</w:t>
            </w:r>
          </w:p>
        </w:tc>
        <w:tc>
          <w:tcPr>
            <w:tcW w:type="dxa" w:w="6912"/>
          </w:tcPr>
          <w:p>
            <w:pPr>
              <w:spacing w:before="40" w:after="40"/>
            </w:pPr>
            <w:r>
              <w:rPr>
                <w:rFonts w:ascii="Times New Roman" w:hAnsi="Times New Roman"/>
                <w:b w:val="0"/>
                <w:i w:val="0"/>
                <w:color w:val="000000"/>
                <w:sz w:val="20"/>
              </w:rPr>
              <w:t>Web Server Gateway Interface</w:t>
            </w:r>
          </w:p>
        </w:tc>
      </w:tr>
      <w:tr>
        <w:tc>
          <w:tcPr>
            <w:tcW w:type="dxa" w:w="2592"/>
          </w:tcPr>
          <w:p>
            <w:pPr>
              <w:spacing w:before="40" w:after="40"/>
            </w:pPr>
            <w:r>
              <w:rPr>
                <w:rFonts w:ascii="Times New Roman" w:hAnsi="Times New Roman"/>
                <w:b/>
                <w:i w:val="0"/>
                <w:color w:val="000000"/>
                <w:sz w:val="20"/>
              </w:rPr>
              <w:t>W1</w:t>
            </w:r>
          </w:p>
        </w:tc>
        <w:tc>
          <w:tcPr>
            <w:tcW w:type="dxa" w:w="6912"/>
          </w:tcPr>
          <w:p>
            <w:pPr>
              <w:spacing w:before="40" w:after="40"/>
            </w:pPr>
            <w:r>
              <w:rPr>
                <w:rFonts w:ascii="Times New Roman" w:hAnsi="Times New Roman"/>
                <w:b w:val="0"/>
                <w:i w:val="0"/>
                <w:color w:val="000000"/>
                <w:sz w:val="20"/>
              </w:rPr>
              <w:t>Weight parameter for Delivery Timeliness (0.40)</w:t>
            </w:r>
          </w:p>
        </w:tc>
      </w:tr>
      <w:tr>
        <w:tc>
          <w:tcPr>
            <w:tcW w:type="dxa" w:w="2592"/>
          </w:tcPr>
          <w:p>
            <w:pPr>
              <w:spacing w:before="40" w:after="40"/>
            </w:pPr>
            <w:r>
              <w:rPr>
                <w:rFonts w:ascii="Times New Roman" w:hAnsi="Times New Roman"/>
                <w:b/>
                <w:i w:val="0"/>
                <w:color w:val="000000"/>
                <w:sz w:val="20"/>
              </w:rPr>
              <w:t>W2</w:t>
            </w:r>
          </w:p>
        </w:tc>
        <w:tc>
          <w:tcPr>
            <w:tcW w:type="dxa" w:w="6912"/>
          </w:tcPr>
          <w:p>
            <w:pPr>
              <w:spacing w:before="40" w:after="40"/>
            </w:pPr>
            <w:r>
              <w:rPr>
                <w:rFonts w:ascii="Times New Roman" w:hAnsi="Times New Roman"/>
                <w:b w:val="0"/>
                <w:i w:val="0"/>
                <w:color w:val="000000"/>
                <w:sz w:val="20"/>
              </w:rPr>
              <w:t>Weight parameter for Order Completeness (0.35)</w:t>
            </w:r>
          </w:p>
        </w:tc>
      </w:tr>
      <w:tr>
        <w:tc>
          <w:tcPr>
            <w:tcW w:type="dxa" w:w="2592"/>
          </w:tcPr>
          <w:p>
            <w:pPr>
              <w:spacing w:before="40" w:after="40"/>
            </w:pPr>
            <w:r>
              <w:rPr>
                <w:rFonts w:ascii="Times New Roman" w:hAnsi="Times New Roman"/>
                <w:b/>
                <w:i w:val="0"/>
                <w:color w:val="000000"/>
                <w:sz w:val="20"/>
              </w:rPr>
              <w:t>W3</w:t>
            </w:r>
          </w:p>
        </w:tc>
        <w:tc>
          <w:tcPr>
            <w:tcW w:type="dxa" w:w="6912"/>
          </w:tcPr>
          <w:p>
            <w:pPr>
              <w:spacing w:before="40" w:after="40"/>
            </w:pPr>
            <w:r>
              <w:rPr>
                <w:rFonts w:ascii="Times New Roman" w:hAnsi="Times New Roman"/>
                <w:b w:val="0"/>
                <w:i w:val="0"/>
                <w:color w:val="000000"/>
                <w:sz w:val="20"/>
              </w:rPr>
              <w:t>Weight parameter for Price Consistency (0.25)</w:t>
            </w:r>
          </w:p>
        </w:tc>
      </w:tr>
    </w:tbl>
    <w:p>
      <w:r>
        <w:br w:type="page"/>
      </w:r>
    </w:p>
    <w:p>
      <w:pPr>
        <w:spacing w:before="240" w:after="240"/>
        <w:jc w:val="left"/>
      </w:pPr>
      <w:r>
        <w:rPr>
          <w:rFonts w:ascii="Times New Roman" w:hAnsi="Times New Roman"/>
          <w:b/>
          <w:i w:val="0"/>
          <w:color w:val="000000"/>
          <w:sz w:val="28"/>
        </w:rPr>
        <w:t>CHAPTER 1: INTRODUCTION</w:t>
      </w:r>
    </w:p>
    <w:p>
      <w:pPr>
        <w:spacing w:before="240" w:after="120"/>
        <w:jc w:val="left"/>
      </w:pPr>
      <w:r>
        <w:rPr>
          <w:rFonts w:ascii="Times New Roman" w:hAnsi="Times New Roman"/>
          <w:b/>
          <w:i w:val="0"/>
          <w:color w:val="000000"/>
          <w:sz w:val="26"/>
        </w:rPr>
        <w:t>1.1 Background and Motivation</w:t>
      </w:r>
    </w:p>
    <w:p>
      <w:pPr>
        <w:spacing w:before="0" w:after="120" w:line="360" w:lineRule="auto"/>
        <w:jc w:val="both"/>
      </w:pPr>
      <w:r>
        <w:rPr>
          <w:rFonts w:ascii="Times New Roman" w:hAnsi="Times New Roman"/>
          <w:b w:val="0"/>
          <w:i w:val="0"/>
          <w:color w:val="000000"/>
          <w:sz w:val="24"/>
        </w:rPr>
        <w:t>In modern industrial ecosystems, the supply chain serves as the critical backbone connecting raw material suppliers, component manufacturers, assembly plants, and end-market distributors. Over the past two decades, the exponential acceleration of global manufacturing and digital commerce has transformed procurement from a localized clerical task into a high-velocity, data-driven discipline. Small and medium-sized enterprises (SMEs) represent the vast majority of businesses globally and drive substantial economic output. However, SMEs frequently lack access to high-cost enterprise resource planning (ERP) suites like SAP or Oracle SCM due to prohibitive licensing costs and high implementation complexity.</w:t>
      </w:r>
    </w:p>
    <w:p>
      <w:pPr>
        <w:spacing w:before="0" w:after="120" w:line="360" w:lineRule="auto"/>
        <w:jc w:val="both"/>
      </w:pPr>
      <w:r>
        <w:rPr>
          <w:rFonts w:ascii="Times New Roman" w:hAnsi="Times New Roman"/>
          <w:b w:val="0"/>
          <w:i w:val="0"/>
          <w:color w:val="000000"/>
          <w:sz w:val="24"/>
        </w:rPr>
        <w:t>Consequently, many SMEs and regional suppliers continue to manage multi-thousand dollar purchasing transactions and inventory balances through fragmented communication channels—such as unstructured phone calls, scattered email chains, and static desktop spreadsheets. This fragmentation introduces severe information latency, stockout incidents, financial inaccuracies, and operational friction.</w:t>
      </w:r>
    </w:p>
    <w:p>
      <w:pPr>
        <w:spacing w:before="240" w:after="120"/>
        <w:jc w:val="left"/>
      </w:pPr>
      <w:r>
        <w:rPr>
          <w:rFonts w:ascii="Times New Roman" w:hAnsi="Times New Roman"/>
          <w:b/>
          <w:i w:val="0"/>
          <w:color w:val="000000"/>
          <w:sz w:val="26"/>
        </w:rPr>
        <w:t>1.2 Problem Statement &amp; Industry Challenges</w:t>
      </w:r>
    </w:p>
    <w:p>
      <w:pPr>
        <w:spacing w:before="0" w:after="120" w:line="360" w:lineRule="auto"/>
        <w:jc w:val="both"/>
      </w:pPr>
      <w:r>
        <w:rPr>
          <w:rFonts w:ascii="Times New Roman" w:hAnsi="Times New Roman"/>
          <w:b w:val="0"/>
          <w:i w:val="0"/>
          <w:color w:val="000000"/>
          <w:sz w:val="24"/>
        </w:rPr>
        <w:t>The absence of an integrated, automated B2B procurement and inventory tracking platform manifests in several critical operational challenges:</w:t>
      </w:r>
    </w:p>
    <w:p>
      <w:pPr>
        <w:spacing w:before="0" w:after="120" w:line="300" w:lineRule="auto"/>
        <w:jc w:val="both"/>
      </w:pPr>
      <w:r>
        <w:rPr>
          <w:rFonts w:ascii="Times New Roman" w:hAnsi="Times New Roman"/>
          <w:b w:val="0"/>
          <w:i w:val="0"/>
          <w:color w:val="000000"/>
          <w:sz w:val="24"/>
        </w:rPr>
        <w:t>1. Information Asymmetry and Stockout Risks: Buyers often have no real-time visibility into supplier stock availability. When unexpected surges in production demand occur, buyers face sudden stockouts because supplier inventory depletion is discovered only after orders are placed.</w:t>
      </w:r>
    </w:p>
    <w:p>
      <w:pPr>
        <w:spacing w:before="0" w:after="120" w:line="300" w:lineRule="auto"/>
        <w:jc w:val="both"/>
      </w:pPr>
      <w:r>
        <w:rPr>
          <w:rFonts w:ascii="Times New Roman" w:hAnsi="Times New Roman"/>
          <w:b w:val="0"/>
          <w:i w:val="0"/>
          <w:color w:val="000000"/>
          <w:sz w:val="24"/>
        </w:rPr>
        <w:t>2. Manual Document Bottlenecks: Generating formal Purchase Orders (POs), commercial invoices, and tax receipts manually consumes excessive labor hours and introduces human typographical errors that disrupt financial auditing.</w:t>
      </w:r>
    </w:p>
    <w:p>
      <w:pPr>
        <w:spacing w:before="0" w:after="120" w:line="300" w:lineRule="auto"/>
        <w:jc w:val="both"/>
      </w:pPr>
      <w:r>
        <w:rPr>
          <w:rFonts w:ascii="Times New Roman" w:hAnsi="Times New Roman"/>
          <w:b w:val="0"/>
          <w:i w:val="0"/>
          <w:color w:val="000000"/>
          <w:sz w:val="24"/>
        </w:rPr>
        <w:t>3. Subjective and Biased Supplier Evaluation: In traditional purchasing, vendor reliability is judged based on anecdotal impressions rather than quantifiable performance metrics. This lack of structured scoring prevents purchasing managers from identifying underperforming vendors or rewarding dependable suppliers.</w:t>
      </w:r>
    </w:p>
    <w:p>
      <w:pPr>
        <w:spacing w:before="0" w:after="120" w:line="300" w:lineRule="auto"/>
        <w:jc w:val="both"/>
      </w:pPr>
      <w:r>
        <w:rPr>
          <w:rFonts w:ascii="Times New Roman" w:hAnsi="Times New Roman"/>
          <w:b w:val="0"/>
          <w:i w:val="0"/>
          <w:color w:val="000000"/>
          <w:sz w:val="24"/>
        </w:rPr>
        <w:t>4. Order Routing and Status Ambiguity: Orders placed across multiple vendors often get misrouted or stuck in ambiguous statuses without transparent tracking from dispatch to warehouse delivery.</w:t>
      </w:r>
    </w:p>
    <w:p>
      <w:pPr>
        <w:spacing w:before="240" w:after="120"/>
        <w:jc w:val="left"/>
      </w:pPr>
      <w:r>
        <w:rPr>
          <w:rFonts w:ascii="Times New Roman" w:hAnsi="Times New Roman"/>
          <w:b/>
          <w:i w:val="0"/>
          <w:color w:val="000000"/>
          <w:sz w:val="26"/>
        </w:rPr>
        <w:t>1.3 Project Aim and Objectives</w:t>
      </w:r>
    </w:p>
    <w:p>
      <w:pPr>
        <w:spacing w:before="0" w:after="120" w:line="360" w:lineRule="auto"/>
        <w:jc w:val="both"/>
      </w:pPr>
      <w:r>
        <w:rPr>
          <w:rFonts w:ascii="Times New Roman" w:hAnsi="Times New Roman"/>
          <w:b w:val="0"/>
          <w:i w:val="0"/>
          <w:color w:val="000000"/>
          <w:sz w:val="24"/>
        </w:rPr>
        <w:t>The primary objective of this graduation project is to design, develop, test, and deploy an end-to-end, intelligent B2B Supply Chain and Inventory Tracking Portal that provides enterprise-grade capabilities to SMEs and suppliers at zero licensing overhead. Specifically, the project delivers:</w:t>
      </w:r>
    </w:p>
    <w:p>
      <w:pPr>
        <w:spacing w:before="0" w:after="120" w:line="300" w:lineRule="auto"/>
        <w:jc w:val="both"/>
      </w:pPr>
      <w:r>
        <w:rPr>
          <w:rFonts w:ascii="Times New Roman" w:hAnsi="Times New Roman"/>
          <w:b w:val="0"/>
          <w:i w:val="0"/>
          <w:color w:val="000000"/>
          <w:sz w:val="24"/>
        </w:rPr>
        <w:t>• A centralized digital marketplace catalog enabling multi-category industrial material discovery and 1-click purchase order issuance.</w:t>
      </w:r>
    </w:p>
    <w:p>
      <w:pPr>
        <w:spacing w:before="0" w:after="120" w:line="300" w:lineRule="auto"/>
        <w:jc w:val="both"/>
      </w:pPr>
      <w:r>
        <w:rPr>
          <w:rFonts w:ascii="Times New Roman" w:hAnsi="Times New Roman"/>
          <w:b w:val="0"/>
          <w:i w:val="0"/>
          <w:color w:val="000000"/>
          <w:sz w:val="24"/>
        </w:rPr>
        <w:t>• An autonomous safety stock buffer monitoring algorithm that tracks real-time inventory against safety thresholds ($S_t \le \text{Threshold}$) and triggers early warning banners.</w:t>
      </w:r>
    </w:p>
    <w:p>
      <w:pPr>
        <w:spacing w:before="0" w:after="120" w:line="300" w:lineRule="auto"/>
        <w:jc w:val="both"/>
      </w:pPr>
      <w:r>
        <w:rPr>
          <w:rFonts w:ascii="Times New Roman" w:hAnsi="Times New Roman"/>
          <w:b w:val="0"/>
          <w:i w:val="0"/>
          <w:color w:val="000000"/>
          <w:sz w:val="24"/>
        </w:rPr>
        <w:t>• Automated legal-standard document rendering for dynamic PDF invoices and purchase orders using the ReportLab engine.</w:t>
      </w:r>
    </w:p>
    <w:p>
      <w:pPr>
        <w:spacing w:before="0" w:after="120" w:line="300" w:lineRule="auto"/>
        <w:jc w:val="both"/>
      </w:pPr>
      <w:r>
        <w:rPr>
          <w:rFonts w:ascii="Times New Roman" w:hAnsi="Times New Roman"/>
          <w:b w:val="0"/>
          <w:i w:val="0"/>
          <w:color w:val="000000"/>
          <w:sz w:val="24"/>
        </w:rPr>
        <w:t>• Client-side high-fidelity Microsoft Excel (.xlsx) export capabilities using SheetJS for seamless accounting integration.</w:t>
      </w:r>
    </w:p>
    <w:p>
      <w:pPr>
        <w:spacing w:before="0" w:after="120" w:line="300" w:lineRule="auto"/>
        <w:jc w:val="both"/>
      </w:pPr>
      <w:r>
        <w:rPr>
          <w:rFonts w:ascii="Times New Roman" w:hAnsi="Times New Roman"/>
          <w:b w:val="0"/>
          <w:i w:val="0"/>
          <w:color w:val="000000"/>
          <w:sz w:val="24"/>
        </w:rPr>
        <w:t>• A mathematically validated Weighted Multi-Criteria Decision Model (MCDM) that dynamically scores supplier performance based on Delivery Timeliness ($W_1=0.40$), Order Completeness ($W_2=0.35$), and Price Consistency ($W_3=0.25$).</w:t>
      </w:r>
    </w:p>
    <w:p>
      <w:pPr>
        <w:spacing w:before="240" w:after="120"/>
        <w:jc w:val="left"/>
      </w:pPr>
      <w:r>
        <w:rPr>
          <w:rFonts w:ascii="Times New Roman" w:hAnsi="Times New Roman"/>
          <w:b/>
          <w:i w:val="0"/>
          <w:color w:val="000000"/>
          <w:sz w:val="26"/>
        </w:rPr>
        <w:t>1.4 Significance and Scope of the Project</w:t>
      </w:r>
    </w:p>
    <w:p>
      <w:pPr>
        <w:spacing w:before="0" w:after="120" w:line="360" w:lineRule="auto"/>
        <w:jc w:val="both"/>
      </w:pPr>
      <w:r>
        <w:rPr>
          <w:rFonts w:ascii="Times New Roman" w:hAnsi="Times New Roman"/>
          <w:b w:val="0"/>
          <w:i w:val="0"/>
          <w:color w:val="000000"/>
          <w:sz w:val="24"/>
        </w:rPr>
        <w:t>This project bridges the gap between complex theoretical supply chain concepts and practical, modern web engineering. By deploying a production-ready solution accessible via standard web browsers, the platform demonstrates how modern frameworks can democratize supply chain intelligence, foster transparent buyer-supplier relationships, and eliminate administrative waste.</w:t>
      </w:r>
    </w:p>
    <w:p>
      <w:pPr>
        <w:spacing w:before="240" w:after="120"/>
        <w:jc w:val="left"/>
      </w:pPr>
      <w:r>
        <w:rPr>
          <w:rFonts w:ascii="Times New Roman" w:hAnsi="Times New Roman"/>
          <w:b/>
          <w:i w:val="0"/>
          <w:color w:val="000000"/>
          <w:sz w:val="26"/>
        </w:rPr>
        <w:t>1.5 Structure of the Report</w:t>
      </w:r>
    </w:p>
    <w:p>
      <w:pPr>
        <w:spacing w:before="0" w:after="120" w:line="360" w:lineRule="auto"/>
        <w:jc w:val="both"/>
      </w:pPr>
      <w:r>
        <w:rPr>
          <w:rFonts w:ascii="Times New Roman" w:hAnsi="Times New Roman"/>
          <w:b w:val="0"/>
          <w:i w:val="0"/>
          <w:color w:val="000000"/>
          <w:sz w:val="24"/>
        </w:rPr>
        <w:t>The remainder of this report is organized as follows: Chapter 2 reviews the literature on supply chain management, inventory models, and multi-criteria evaluation algorithms. Chapter 3 details the architectural design, database schemas, security protocols, and mathematical formulas. Chapter 4 provides an in-depth exploration of the software implementation and core modules. Chapter 5 presents functional testing, experimental validation, and cloud deployment metrics. Finally, Chapter 6 concludes the report with key accomplishments and future research avenues.</w:t>
      </w:r>
    </w:p>
    <w:p>
      <w:r>
        <w:br w:type="page"/>
      </w:r>
    </w:p>
    <w:p>
      <w:pPr>
        <w:spacing w:before="240" w:after="240"/>
        <w:jc w:val="left"/>
      </w:pPr>
      <w:r>
        <w:rPr>
          <w:rFonts w:ascii="Times New Roman" w:hAnsi="Times New Roman"/>
          <w:b/>
          <w:i w:val="0"/>
          <w:color w:val="000000"/>
          <w:sz w:val="28"/>
        </w:rPr>
        <w:t>CHAPTER 2: LITERATURE REVIEW &amp; THEORETICAL FRAMEWORK</w:t>
      </w:r>
    </w:p>
    <w:p>
      <w:pPr>
        <w:spacing w:before="240" w:after="120"/>
        <w:jc w:val="left"/>
      </w:pPr>
      <w:r>
        <w:rPr>
          <w:rFonts w:ascii="Times New Roman" w:hAnsi="Times New Roman"/>
          <w:b/>
          <w:i w:val="0"/>
          <w:color w:val="000000"/>
          <w:sz w:val="26"/>
        </w:rPr>
        <w:t>2.1 Supply Chain Management (SCM) in the Digital Age</w:t>
      </w:r>
    </w:p>
    <w:p>
      <w:pPr>
        <w:spacing w:before="0" w:after="120" w:line="360" w:lineRule="auto"/>
        <w:jc w:val="both"/>
      </w:pPr>
      <w:r>
        <w:rPr>
          <w:rFonts w:ascii="Times New Roman" w:hAnsi="Times New Roman"/>
          <w:b w:val="0"/>
          <w:i w:val="0"/>
          <w:color w:val="000000"/>
          <w:sz w:val="24"/>
        </w:rPr>
        <w:t>Supply Chain Management (SCM) encompasses the planning, execution, control, and monitoring of supply chain activities with the objective of creating net value, building a competitive infrastructure, leveraging worldwide logistics, and synchronizing supply with demand (Chopra &amp; Meindl, 2016). In recent years, academic literature has emphasized the paradigm shift from traditional linear supply chains to interconnected 'digital supply networks' where participants share synchronized transaction records in near real-time.</w:t>
      </w:r>
    </w:p>
    <w:p>
      <w:pPr>
        <w:spacing w:before="240" w:after="120"/>
        <w:jc w:val="left"/>
      </w:pPr>
      <w:r>
        <w:rPr>
          <w:rFonts w:ascii="Times New Roman" w:hAnsi="Times New Roman"/>
          <w:b/>
          <w:i w:val="0"/>
          <w:color w:val="000000"/>
          <w:sz w:val="26"/>
        </w:rPr>
        <w:t>2.2 Inventory Management &amp; Safety Stock Buffer Models</w:t>
      </w:r>
    </w:p>
    <w:p>
      <w:pPr>
        <w:spacing w:before="0" w:after="120" w:line="360" w:lineRule="auto"/>
        <w:jc w:val="both"/>
      </w:pPr>
      <w:r>
        <w:rPr>
          <w:rFonts w:ascii="Times New Roman" w:hAnsi="Times New Roman"/>
          <w:b w:val="0"/>
          <w:i w:val="0"/>
          <w:color w:val="000000"/>
          <w:sz w:val="24"/>
        </w:rPr>
        <w:t>Inventory represents one of the largest capital commitments on an enterprise balance sheet. Holding excessive stock incurs steep carrying costs, risk of obsolescence, and warehouse overhead, whereas holding insufficient stock causes lost sales and production shutdowns—a dilemma known as the trade-off between holding cost and stockout cost (Silver et al., 2017).</w:t>
      </w:r>
    </w:p>
    <w:p>
      <w:pPr>
        <w:spacing w:before="0" w:after="120" w:line="360" w:lineRule="auto"/>
        <w:jc w:val="both"/>
      </w:pPr>
      <w:r>
        <w:rPr>
          <w:rFonts w:ascii="Times New Roman" w:hAnsi="Times New Roman"/>
          <w:b w:val="0"/>
          <w:i w:val="0"/>
          <w:color w:val="000000"/>
          <w:sz w:val="24"/>
        </w:rPr>
        <w:t>To mitigate demand volatility and lead-time variability, the safety stock ($SS$) buffer is mathematically determined. In our system, the critical safety threshold buffer is integrated as a proactive control rule:</w:t>
      </w:r>
    </w:p>
    <w:p>
      <w:pPr>
        <w:spacing w:before="0" w:after="120" w:line="360" w:lineRule="auto"/>
        <w:jc w:val="both"/>
      </w:pPr>
      <w:r>
        <w:rPr>
          <w:rFonts w:ascii="Times New Roman" w:hAnsi="Times New Roman"/>
          <w:b w:val="0"/>
          <w:i w:val="0"/>
          <w:color w:val="000000"/>
          <w:sz w:val="24"/>
        </w:rPr>
        <w:t>$$\text{Alert Condition: } S_t \le S_{\text{threshold}}$$</w:t>
      </w:r>
    </w:p>
    <w:p>
      <w:pPr>
        <w:spacing w:before="0" w:after="120" w:line="360" w:lineRule="auto"/>
        <w:jc w:val="both"/>
      </w:pPr>
      <w:r>
        <w:rPr>
          <w:rFonts w:ascii="Times New Roman" w:hAnsi="Times New Roman"/>
          <w:b w:val="0"/>
          <w:i w:val="0"/>
          <w:color w:val="000000"/>
          <w:sz w:val="24"/>
        </w:rPr>
        <w:t>where $S_t$ represents the instantaneous on-hand stock and $S_{\text{threshold}}$ represents the predefined safety stock level below which reorder procedures must immediately execute.</w:t>
      </w:r>
    </w:p>
    <w:p>
      <w:pPr>
        <w:spacing w:before="240" w:after="120"/>
        <w:jc w:val="left"/>
      </w:pPr>
      <w:r>
        <w:rPr>
          <w:rFonts w:ascii="Times New Roman" w:hAnsi="Times New Roman"/>
          <w:b/>
          <w:i w:val="0"/>
          <w:color w:val="000000"/>
          <w:sz w:val="26"/>
        </w:rPr>
        <w:t>2.3 Multi-Criteria Decision Making (MCDM) in Supplier Evaluation</w:t>
      </w:r>
    </w:p>
    <w:p>
      <w:pPr>
        <w:spacing w:before="0" w:after="120" w:line="360" w:lineRule="auto"/>
        <w:jc w:val="both"/>
      </w:pPr>
      <w:r>
        <w:rPr>
          <w:rFonts w:ascii="Times New Roman" w:hAnsi="Times New Roman"/>
          <w:b w:val="0"/>
          <w:i w:val="0"/>
          <w:color w:val="000000"/>
          <w:sz w:val="24"/>
        </w:rPr>
        <w:t>Supplier selection and continuous vendor performance evaluation are quintessential Multi-Criteria Decision Making (MCDM) challenges (Dickson, 1966; Weber et al., 1991). In Dickson's seminal study of supplier selection criteria across hundreds of purchasing managers, Quality, On-Time Delivery, and Price History emerged as the three most dominant determinants.</w:t>
      </w:r>
    </w:p>
    <w:p>
      <w:pPr>
        <w:spacing w:before="0" w:after="120" w:line="360" w:lineRule="auto"/>
        <w:jc w:val="both"/>
      </w:pPr>
      <w:r>
        <w:rPr>
          <w:rFonts w:ascii="Times New Roman" w:hAnsi="Times New Roman"/>
          <w:b w:val="0"/>
          <w:i w:val="0"/>
          <w:color w:val="000000"/>
          <w:sz w:val="24"/>
        </w:rPr>
        <w:t>Linear weighting models and the Analytical Hierarchy Process (AHP) are widely recognized in operations research for synthesizing disparate performance dimensions into a unified, actionable index. By establishing normalized criterion weights ($W_1 + W_2 + W_3 = 1.0$), purchasing organizations can objectively rank vendors into clear tiers, incentivizing suppliers to maintain high operational standards.</w:t>
      </w:r>
    </w:p>
    <w:p>
      <w:pPr>
        <w:spacing w:before="240" w:after="120"/>
        <w:jc w:val="left"/>
      </w:pPr>
      <w:r>
        <w:rPr>
          <w:rFonts w:ascii="Times New Roman" w:hAnsi="Times New Roman"/>
          <w:b/>
          <w:i w:val="0"/>
          <w:color w:val="000000"/>
          <w:sz w:val="26"/>
        </w:rPr>
        <w:t>2.4 Automated Document Workflows in Enterprise Systems</w:t>
      </w:r>
    </w:p>
    <w:p>
      <w:pPr>
        <w:spacing w:before="0" w:after="120" w:line="360" w:lineRule="auto"/>
        <w:jc w:val="both"/>
      </w:pPr>
      <w:r>
        <w:rPr>
          <w:rFonts w:ascii="Times New Roman" w:hAnsi="Times New Roman"/>
          <w:b w:val="0"/>
          <w:i w:val="0"/>
          <w:color w:val="000000"/>
          <w:sz w:val="24"/>
        </w:rPr>
        <w:t>The administrative overhead of generating physical purchase orders, paper invoices, and CSV audit trails represents a substantial source of labor inefficiency. Research in enterprise information systems demonstrates that automating document compilation into standardized PDF and structured Excel (.xlsx) workbooks directly reduces billing cycle durations by over 60% and eliminates manual data-entry errors (White &amp; Pearson, 2001).</w:t>
      </w:r>
    </w:p>
    <w:p>
      <w:r>
        <w:br w:type="page"/>
      </w:r>
    </w:p>
    <w:p>
      <w:pPr>
        <w:spacing w:before="240" w:after="240"/>
        <w:jc w:val="left"/>
      </w:pPr>
      <w:r>
        <w:rPr>
          <w:rFonts w:ascii="Times New Roman" w:hAnsi="Times New Roman"/>
          <w:b/>
          <w:i w:val="0"/>
          <w:color w:val="000000"/>
          <w:sz w:val="28"/>
        </w:rPr>
        <w:t>CHAPTER 3: SYSTEM DESIGN &amp; ARCHITECTURE</w:t>
      </w:r>
    </w:p>
    <w:p>
      <w:pPr>
        <w:spacing w:before="240" w:after="120"/>
        <w:jc w:val="left"/>
      </w:pPr>
      <w:r>
        <w:rPr>
          <w:rFonts w:ascii="Times New Roman" w:hAnsi="Times New Roman"/>
          <w:b/>
          <w:i w:val="0"/>
          <w:color w:val="000000"/>
          <w:sz w:val="26"/>
        </w:rPr>
        <w:t>3.1 Architectural Overview (Three-Tier Client-Server Architecture)</w:t>
      </w:r>
    </w:p>
    <w:p>
      <w:pPr>
        <w:spacing w:before="0" w:after="120" w:line="360" w:lineRule="auto"/>
        <w:jc w:val="both"/>
      </w:pPr>
      <w:r>
        <w:rPr>
          <w:rFonts w:ascii="Times New Roman" w:hAnsi="Times New Roman"/>
          <w:b w:val="0"/>
          <w:i w:val="0"/>
          <w:color w:val="000000"/>
          <w:sz w:val="24"/>
        </w:rPr>
        <w:t>The portal is constructed upon a modern Three-Tier Client-Server Architectural Pattern comprising the Presentation Tier (Reactive SPA client), Application Tier (Django REST Framework API engine), and Data Tier (Relational SQL database).</w:t>
      </w:r>
    </w:p>
    <w:p>
      <w:pPr>
        <w:spacing w:before="0" w:after="120" w:line="360" w:lineRule="auto"/>
        <w:jc w:val="both"/>
      </w:pPr>
      <w:r>
        <w:rPr>
          <w:rFonts w:ascii="Times New Roman" w:hAnsi="Times New Roman"/>
          <w:b w:val="0"/>
          <w:i w:val="0"/>
          <w:color w:val="000000"/>
          <w:sz w:val="24"/>
        </w:rPr>
        <w:t>1. Presentation Tier: Implemented using clean HTML5, modern CSS3 with custom glassmorphism design tokens, and reactive Vanilla JavaScript. It communicates asynchronously with the backend via RESTful JSON endpoints.</w:t>
      </w:r>
    </w:p>
    <w:p>
      <w:pPr>
        <w:spacing w:before="0" w:after="120" w:line="360" w:lineRule="auto"/>
        <w:jc w:val="both"/>
      </w:pPr>
      <w:r>
        <w:rPr>
          <w:rFonts w:ascii="Times New Roman" w:hAnsi="Times New Roman"/>
          <w:b w:val="0"/>
          <w:i w:val="0"/>
          <w:color w:val="000000"/>
          <w:sz w:val="24"/>
        </w:rPr>
        <w:t>2. Application Tier: Powered by Python 3.13 and Django 5.x. The Django REST Framework (DRF) manages serialization, validation rules, transactional business logic, and automated document compilation.</w:t>
      </w:r>
    </w:p>
    <w:p>
      <w:pPr>
        <w:spacing w:before="0" w:after="120" w:line="360" w:lineRule="auto"/>
        <w:jc w:val="both"/>
      </w:pPr>
      <w:r>
        <w:rPr>
          <w:rFonts w:ascii="Times New Roman" w:hAnsi="Times New Roman"/>
          <w:b w:val="0"/>
          <w:i w:val="0"/>
          <w:color w:val="000000"/>
          <w:sz w:val="24"/>
        </w:rPr>
        <w:t>3. Data Tier: A relational database structured with strict foreign key constraints, unique SKU indexes, and ACID-compliant transaction boundaries.</w:t>
      </w:r>
    </w:p>
    <w:p>
      <w:pPr>
        <w:spacing w:before="240" w:after="120"/>
        <w:jc w:val="left"/>
      </w:pPr>
      <w:r>
        <w:rPr>
          <w:rFonts w:ascii="Times New Roman" w:hAnsi="Times New Roman"/>
          <w:b/>
          <w:i w:val="0"/>
          <w:color w:val="000000"/>
          <w:sz w:val="26"/>
        </w:rPr>
        <w:t>3.2 Database Schema &amp; Entity-Relationship (ER) Design</w:t>
      </w:r>
    </w:p>
    <w:p>
      <w:pPr>
        <w:spacing w:before="0" w:after="120" w:line="360" w:lineRule="auto"/>
        <w:jc w:val="both"/>
      </w:pPr>
      <w:r>
        <w:rPr>
          <w:rFonts w:ascii="Times New Roman" w:hAnsi="Times New Roman"/>
          <w:b w:val="0"/>
          <w:i w:val="0"/>
          <w:color w:val="000000"/>
          <w:sz w:val="24"/>
        </w:rPr>
        <w:t>The relational schema is divided into four dedicated Django application domains:</w:t>
      </w:r>
    </w:p>
    <w:p>
      <w:pPr>
        <w:spacing w:before="0" w:after="120" w:line="360" w:lineRule="auto"/>
        <w:jc w:val="both"/>
      </w:pPr>
      <w:r>
        <w:rPr>
          <w:rFonts w:ascii="Times New Roman" w:hAnsi="Times New Roman"/>
          <w:b w:val="0"/>
          <w:i w:val="0"/>
          <w:color w:val="000000"/>
          <w:sz w:val="24"/>
        </w:rPr>
        <w:t>• apps.accounts: Houses Company (`id`, `name`, `company_type` [SME/SUPPLIER], `tax_id`, `email`, `phone`, `address`) and UserProfile (`user_id`, `company_id`, `role_title`).</w:t>
      </w:r>
    </w:p>
    <w:p>
      <w:pPr>
        <w:spacing w:before="0" w:after="120" w:line="360" w:lineRule="auto"/>
        <w:jc w:val="both"/>
      </w:pPr>
      <w:r>
        <w:rPr>
          <w:rFonts w:ascii="Times New Roman" w:hAnsi="Times New Roman"/>
          <w:b w:val="0"/>
          <w:i w:val="0"/>
          <w:color w:val="000000"/>
          <w:sz w:val="24"/>
        </w:rPr>
        <w:t>• apps.inventory: Contains Category (`id`, `name`), Product (`id`, `name`, `sku`, `unit_price`, `unit`, `preferred_supplier`), and InventoryItem (`id`, `company`, `product`, `current_stock`, `safety_threshold`, `reorder_quantity`, `warehouse_location`).</w:t>
      </w:r>
    </w:p>
    <w:p>
      <w:pPr>
        <w:spacing w:before="0" w:after="120" w:line="360" w:lineRule="auto"/>
        <w:jc w:val="both"/>
      </w:pPr>
      <w:r>
        <w:rPr>
          <w:rFonts w:ascii="Times New Roman" w:hAnsi="Times New Roman"/>
          <w:b w:val="0"/>
          <w:i w:val="0"/>
          <w:color w:val="000000"/>
          <w:sz w:val="24"/>
        </w:rPr>
        <w:t>• apps.orders: Contains PurchaseOrder (`id`, `order_number`, `buyer_company`, `supplier_company`, `status` [PENDING/CONFIRMED/IN_TRANSIT/DELIVERED], `total_amount`, `timeliness_score`, `completeness_score`, `price_consistency_score`, `is_evaluated`), OrderItem (`order`, `product`, `quantity_requested`, `quantity_received`, `agreed_unit_price`), and Invoice (`invoice_number`, `order`, `issue_date`, `due_date`, `total_amount`, `payment_status`).</w:t>
      </w:r>
    </w:p>
    <w:p>
      <w:pPr>
        <w:spacing w:before="0" w:after="120" w:line="360" w:lineRule="auto"/>
        <w:jc w:val="both"/>
      </w:pPr>
      <w:r>
        <w:rPr>
          <w:rFonts w:ascii="Times New Roman" w:hAnsi="Times New Roman"/>
          <w:b w:val="0"/>
          <w:i w:val="0"/>
          <w:color w:val="000000"/>
          <w:sz w:val="24"/>
        </w:rPr>
        <w:t>• apps.scoring: Contains ScoringConfiguration (`sme_company`, `w1_timeliness`, `w2_completeness`, `w3_price_consistency`) and SupplierEvaluation (`supplier_company`, `overall_score`, `tier`).</w:t>
      </w:r>
    </w:p>
    <w:p>
      <w:pPr>
        <w:spacing w:before="240" w:after="120"/>
        <w:jc w:val="left"/>
      </w:pPr>
      <w:r>
        <w:rPr>
          <w:rFonts w:ascii="Times New Roman" w:hAnsi="Times New Roman"/>
          <w:b/>
          <w:i w:val="0"/>
          <w:color w:val="000000"/>
          <w:sz w:val="26"/>
        </w:rPr>
        <w:t>3.3 Security Architecture &amp; Role-Based Access Control (RBAC)</w:t>
      </w:r>
    </w:p>
    <w:p>
      <w:pPr>
        <w:spacing w:before="0" w:after="120" w:line="360" w:lineRule="auto"/>
        <w:jc w:val="both"/>
      </w:pPr>
      <w:r>
        <w:rPr>
          <w:rFonts w:ascii="Times New Roman" w:hAnsi="Times New Roman"/>
          <w:b w:val="0"/>
          <w:i w:val="0"/>
          <w:color w:val="000000"/>
          <w:sz w:val="24"/>
        </w:rPr>
        <w:t>The system enforces strict Role-Based Access Control (RBAC) across both API endpoints and frontend views. Buyers (SMEs) possess permissions to browse the marketplace, issue purchase orders, and submit post-delivery evaluations. Suppliers possess permissions to register new catalog materials, update warehouse inventory, and confirm incoming purchase orders. The frontend dynamically renders relevant navigation tabs and action buttons depending on the authenticated company role.</w:t>
      </w:r>
    </w:p>
    <w:p>
      <w:pPr>
        <w:spacing w:before="240" w:after="120"/>
        <w:jc w:val="left"/>
      </w:pPr>
      <w:r>
        <w:rPr>
          <w:rFonts w:ascii="Times New Roman" w:hAnsi="Times New Roman"/>
          <w:b/>
          <w:i w:val="0"/>
          <w:color w:val="000000"/>
          <w:sz w:val="26"/>
        </w:rPr>
        <w:t>3.4 Mathematical Formulation of the Supplier Scoring Algorithm</w:t>
      </w:r>
    </w:p>
    <w:p>
      <w:pPr>
        <w:spacing w:before="0" w:after="120" w:line="360" w:lineRule="auto"/>
        <w:jc w:val="both"/>
      </w:pPr>
      <w:r>
        <w:rPr>
          <w:rFonts w:ascii="Times New Roman" w:hAnsi="Times New Roman"/>
          <w:b w:val="0"/>
          <w:i w:val="0"/>
          <w:color w:val="000000"/>
          <w:sz w:val="24"/>
        </w:rPr>
        <w:t>The portal evaluates vendor fulfillment using a multi-criteria mathematical model. Let $O_i$ represent the $i$-th evaluated order for supplier $S$. For each order, three normalized metrics ($0 \le S \le 100$) are evaluated:</w:t>
      </w:r>
    </w:p>
    <w:p>
      <w:pPr>
        <w:spacing w:before="0" w:after="120" w:line="360" w:lineRule="auto"/>
        <w:jc w:val="both"/>
      </w:pPr>
      <w:r>
        <w:rPr>
          <w:rFonts w:ascii="Times New Roman" w:hAnsi="Times New Roman"/>
          <w:b w:val="0"/>
          <w:i w:val="0"/>
          <w:color w:val="000000"/>
          <w:sz w:val="24"/>
        </w:rPr>
        <w:t>1. Delivery Timeliness ($W_1$): Evaluates adherence to the committed delivery schedule.</w:t>
      </w:r>
    </w:p>
    <w:p>
      <w:pPr>
        <w:spacing w:before="0" w:after="120" w:line="360" w:lineRule="auto"/>
        <w:jc w:val="both"/>
      </w:pPr>
      <w:r>
        <w:rPr>
          <w:rFonts w:ascii="Times New Roman" w:hAnsi="Times New Roman"/>
          <w:b w:val="0"/>
          <w:i w:val="0"/>
          <w:color w:val="000000"/>
          <w:sz w:val="24"/>
        </w:rPr>
        <w:t>2. Order Completeness ($W_2$): Evaluates the fulfillment ratio of delivered quantity versus requested quantity without shortage.</w:t>
      </w:r>
    </w:p>
    <w:p>
      <w:pPr>
        <w:spacing w:before="0" w:after="120" w:line="360" w:lineRule="auto"/>
        <w:jc w:val="both"/>
      </w:pPr>
      <w:r>
        <w:rPr>
          <w:rFonts w:ascii="Times New Roman" w:hAnsi="Times New Roman"/>
          <w:b w:val="0"/>
          <w:i w:val="0"/>
          <w:color w:val="000000"/>
          <w:sz w:val="24"/>
        </w:rPr>
        <w:t>3. Price Consistency ($W_3$): Evaluates invoice price adherence to agreed catalog pricing without unexpected inflation.</w:t>
      </w:r>
    </w:p>
    <w:p>
      <w:pPr>
        <w:spacing w:before="0" w:after="120" w:line="360" w:lineRule="auto"/>
        <w:jc w:val="both"/>
      </w:pPr>
      <w:r>
        <w:rPr>
          <w:rFonts w:ascii="Times New Roman" w:hAnsi="Times New Roman"/>
          <w:b w:val="0"/>
          <w:i w:val="0"/>
          <w:color w:val="000000"/>
          <w:sz w:val="24"/>
        </w:rPr>
        <w:t>The composite Performance Score for supplier $S$ across $n$ evaluated orders is calculated as:</w:t>
      </w:r>
    </w:p>
    <w:p>
      <w:pPr>
        <w:spacing w:before="0" w:after="120" w:line="360" w:lineRule="auto"/>
        <w:jc w:val="both"/>
      </w:pPr>
      <w:r>
        <w:rPr>
          <w:rFonts w:ascii="Times New Roman" w:hAnsi="Times New Roman"/>
          <w:b w:val="0"/>
          <w:i w:val="0"/>
          <w:color w:val="000000"/>
          <w:sz w:val="24"/>
        </w:rPr>
        <w:t>$$\text{Performance Score} = \left( W_1 \times \frac{1}{n} \sum_{i=1}^{n} T_i \right) + \left( W_2 \times \frac{1}{n} \sum_{i=1}^{n} C_i \right) + \left( W_3 \times \frac{1}{n} \sum_{i=1}^{n} P_i \right)$$</w:t>
      </w:r>
    </w:p>
    <w:p>
      <w:pPr>
        <w:spacing w:before="0" w:after="120" w:line="360" w:lineRule="auto"/>
        <w:jc w:val="both"/>
      </w:pPr>
      <w:r>
        <w:rPr>
          <w:rFonts w:ascii="Times New Roman" w:hAnsi="Times New Roman"/>
          <w:b w:val="0"/>
          <w:i w:val="0"/>
          <w:color w:val="000000"/>
          <w:sz w:val="24"/>
        </w:rPr>
        <w:t>where $W_1 = 0.40$, $W_2 = 0.35$, $W_3 = 0.25$, and $W_1 + W_2 + W_3 = 1.0$.</w:t>
      </w:r>
    </w:p>
    <w:p>
      <w:pPr>
        <w:spacing w:before="0" w:after="120" w:line="360" w:lineRule="auto"/>
        <w:jc w:val="both"/>
      </w:pPr>
      <w:r>
        <w:rPr>
          <w:rFonts w:ascii="Times New Roman" w:hAnsi="Times New Roman"/>
          <w:b w:val="0"/>
          <w:i w:val="0"/>
          <w:color w:val="000000"/>
          <w:sz w:val="24"/>
        </w:rPr>
        <w:t>Suppliers are categorized into performance tiers:</w:t>
      </w:r>
    </w:p>
    <w:p>
      <w:pPr>
        <w:spacing w:before="0" w:after="120" w:line="300" w:lineRule="auto"/>
        <w:jc w:val="both"/>
      </w:pPr>
      <w:r>
        <w:rPr>
          <w:rFonts w:ascii="Times New Roman" w:hAnsi="Times New Roman"/>
          <w:b w:val="0"/>
          <w:i w:val="0"/>
          <w:color w:val="000000"/>
          <w:sz w:val="24"/>
        </w:rPr>
        <w:t>• Score $\ge 90.0\%$: ⭐ Tier 1 - Gold (Preferred Strategic Vendor)</w:t>
        <w:br/>
        <w:t>• $75.0\% \le \text{Score} &lt; 90.0\%$: 🥈 Tier 2 - Silver (Reliable Vendor)</w:t>
        <w:br/>
        <w:t>• $\text{Score} &lt; 75.0\%$: ⚠️ Tier 3 - Bronze (Needs Corrective Action)</w:t>
      </w:r>
    </w:p>
    <w:p>
      <w:r>
        <w:br w:type="page"/>
      </w:r>
    </w:p>
    <w:p>
      <w:pPr>
        <w:spacing w:before="240" w:after="240"/>
        <w:jc w:val="left"/>
      </w:pPr>
      <w:r>
        <w:rPr>
          <w:rFonts w:ascii="Times New Roman" w:hAnsi="Times New Roman"/>
          <w:b/>
          <w:i w:val="0"/>
          <w:color w:val="000000"/>
          <w:sz w:val="28"/>
        </w:rPr>
        <w:t>CHAPTER 4: IMPLEMENTATION &amp; MODULE DEVELOPMENT</w:t>
      </w:r>
    </w:p>
    <w:p>
      <w:pPr>
        <w:spacing w:before="240" w:after="120"/>
        <w:jc w:val="left"/>
      </w:pPr>
      <w:r>
        <w:rPr>
          <w:rFonts w:ascii="Times New Roman" w:hAnsi="Times New Roman"/>
          <w:b/>
          <w:i w:val="0"/>
          <w:color w:val="000000"/>
          <w:sz w:val="26"/>
        </w:rPr>
        <w:t>4.1 Backend REST API Development (Django REST Framework)</w:t>
      </w:r>
    </w:p>
    <w:p>
      <w:pPr>
        <w:spacing w:before="0" w:after="120" w:line="360" w:lineRule="auto"/>
        <w:jc w:val="both"/>
      </w:pPr>
      <w:r>
        <w:rPr>
          <w:rFonts w:ascii="Times New Roman" w:hAnsi="Times New Roman"/>
          <w:b w:val="0"/>
          <w:i w:val="0"/>
          <w:color w:val="000000"/>
          <w:sz w:val="24"/>
        </w:rPr>
        <w:t>The backend exposes a comprehensive suite of RESTful API endpoints utilizing ViewSets and ModelSerializers. Key endpoints include `/api/inventory/products/`, `/api/orders/purchase-orders/`, `/api/orders/purchase-orders/{id}/evaluate_order/`, `/api/scoring/evaluations/simulate/`, and `/api/accounts/auth/login/`.</w:t>
      </w:r>
    </w:p>
    <w:p>
      <w:pPr>
        <w:spacing w:before="240" w:after="120"/>
        <w:jc w:val="left"/>
      </w:pPr>
      <w:r>
        <w:rPr>
          <w:rFonts w:ascii="Times New Roman" w:hAnsi="Times New Roman"/>
          <w:b/>
          <w:i w:val="0"/>
          <w:color w:val="000000"/>
          <w:sz w:val="26"/>
        </w:rPr>
        <w:t>4.2 B2B Material Marketplace &amp; Order Routing Implementation</w:t>
      </w:r>
    </w:p>
    <w:p>
      <w:pPr>
        <w:spacing w:before="0" w:after="120" w:line="360" w:lineRule="auto"/>
        <w:jc w:val="both"/>
      </w:pPr>
      <w:r>
        <w:rPr>
          <w:rFonts w:ascii="Times New Roman" w:hAnsi="Times New Roman"/>
          <w:b w:val="0"/>
          <w:i w:val="0"/>
          <w:color w:val="000000"/>
          <w:sz w:val="24"/>
        </w:rPr>
        <w:t>The Marketplace module displays verified supplier materials categorized into electronics, mechanical hardware, raw materials, and packaging supplies. When a Buyer initiates a purchase order, the system locks the target supplier company ID (`AppState.activeOrderSupplierId`), performs instantaneous on-hand stock validation, creates the `PurchaseOrder` record, and decrements available inventory. The order routes strictly to the chosen supplier's 'Incoming Orders' queue with real-time notification badges.</w:t>
      </w:r>
    </w:p>
    <w:p>
      <w:pPr>
        <w:spacing w:before="240" w:after="120"/>
        <w:jc w:val="left"/>
      </w:pPr>
      <w:r>
        <w:rPr>
          <w:rFonts w:ascii="Times New Roman" w:hAnsi="Times New Roman"/>
          <w:b/>
          <w:i w:val="0"/>
          <w:color w:val="000000"/>
          <w:sz w:val="26"/>
        </w:rPr>
        <w:t>4.3 Automated PDF Document Generation Engine (ReportLab)</w:t>
      </w:r>
    </w:p>
    <w:p>
      <w:pPr>
        <w:spacing w:before="0" w:after="120" w:line="360" w:lineRule="auto"/>
        <w:jc w:val="both"/>
      </w:pPr>
      <w:r>
        <w:rPr>
          <w:rFonts w:ascii="Times New Roman" w:hAnsi="Times New Roman"/>
          <w:b w:val="0"/>
          <w:i w:val="0"/>
          <w:color w:val="000000"/>
          <w:sz w:val="24"/>
        </w:rPr>
        <w:t>The portal integrates the ReportLab PDF compilation engine (`apps/orders/views.py`). Whenever an order is confirmed or an invoice is generated, the server dynamically compiles a professional PDF document featuring corporate metadata, itemized quantity/unit tables, tax breakdown, and payment terms, downloadable directly via browser.</w:t>
      </w:r>
    </w:p>
    <w:p>
      <w:pPr>
        <w:spacing w:before="240" w:after="120"/>
        <w:jc w:val="left"/>
      </w:pPr>
      <w:r>
        <w:rPr>
          <w:rFonts w:ascii="Times New Roman" w:hAnsi="Times New Roman"/>
          <w:b/>
          <w:i w:val="0"/>
          <w:color w:val="000000"/>
          <w:sz w:val="26"/>
        </w:rPr>
        <w:t>4.4 Real-Time Microsoft Excel (.xlsx) Export Engine (SheetJS)</w:t>
      </w:r>
    </w:p>
    <w:p>
      <w:pPr>
        <w:spacing w:before="0" w:after="120" w:line="360" w:lineRule="auto"/>
        <w:jc w:val="both"/>
      </w:pPr>
      <w:r>
        <w:rPr>
          <w:rFonts w:ascii="Times New Roman" w:hAnsi="Times New Roman"/>
          <w:b w:val="0"/>
          <w:i w:val="0"/>
          <w:color w:val="000000"/>
          <w:sz w:val="24"/>
        </w:rPr>
        <w:t>To support enterprise auditing and financial data import, the portal integrates the client-side `SheetJS` library. Users can export comprehensive Order Ledgers and Warehouse Stock Reports with custom column widths, currency formatting, and metadata directly into genuine Microsoft Excel (`.xlsx`) workbooks.</w:t>
      </w:r>
    </w:p>
    <w:p>
      <w:pPr>
        <w:spacing w:before="240" w:after="120"/>
        <w:jc w:val="left"/>
      </w:pPr>
      <w:r>
        <w:rPr>
          <w:rFonts w:ascii="Times New Roman" w:hAnsi="Times New Roman"/>
          <w:b/>
          <w:i w:val="0"/>
          <w:color w:val="000000"/>
          <w:sz w:val="26"/>
        </w:rPr>
        <w:t>4.5 Supplier Performance Scorecard &amp; Leaderboard Module</w:t>
      </w:r>
    </w:p>
    <w:p>
      <w:pPr>
        <w:spacing w:before="0" w:after="120" w:line="360" w:lineRule="auto"/>
        <w:jc w:val="both"/>
      </w:pPr>
      <w:r>
        <w:rPr>
          <w:rFonts w:ascii="Times New Roman" w:hAnsi="Times New Roman"/>
          <w:b w:val="0"/>
          <w:i w:val="0"/>
          <w:color w:val="000000"/>
          <w:sz w:val="24"/>
        </w:rPr>
        <w:t>The Supplier Scoring module provides a real-time, data-driven performance scorecard. Newly registered supplier accounts start with clean, unbiased states showing zero reviews. As buyers complete deliveries and submit reviews via interactive rating sliders with dynamic color tracks, the portal computes the true weighted average scores and presents authentic buyer testimonials.</w:t>
      </w:r>
    </w:p>
    <w:p>
      <w:pPr>
        <w:spacing w:before="240" w:after="120"/>
        <w:jc w:val="left"/>
      </w:pPr>
      <w:r>
        <w:rPr>
          <w:rFonts w:ascii="Times New Roman" w:hAnsi="Times New Roman"/>
          <w:b/>
          <w:i w:val="0"/>
          <w:color w:val="000000"/>
          <w:sz w:val="26"/>
        </w:rPr>
        <w:t>4.6 Client-Side Session Persistence &amp; Responsive Modal Engineering</w:t>
      </w:r>
    </w:p>
    <w:p>
      <w:pPr>
        <w:spacing w:before="0" w:after="120" w:line="360" w:lineRule="auto"/>
        <w:jc w:val="both"/>
      </w:pPr>
      <w:r>
        <w:rPr>
          <w:rFonts w:ascii="Times New Roman" w:hAnsi="Times New Roman"/>
          <w:b w:val="0"/>
          <w:i w:val="0"/>
          <w:color w:val="000000"/>
          <w:sz w:val="24"/>
        </w:rPr>
        <w:t>To ensure a smooth user experience, the portal incorporates `localStorage` and session synchronization. When users refresh the page (`F5`), their active session, user role, and selected company are automatically restored without forcing redundant logins. All modal dialogs utilize a flexbox structure with fixed action footers (`flex-shrink: 0`) and scrollable bodies, ensuring buttons remain clickable on all screen resolutions.</w:t>
      </w:r>
    </w:p>
    <w:p>
      <w:r>
        <w:br w:type="page"/>
      </w:r>
    </w:p>
    <w:p>
      <w:pPr>
        <w:spacing w:before="240" w:after="240"/>
        <w:jc w:val="left"/>
      </w:pPr>
      <w:r>
        <w:rPr>
          <w:rFonts w:ascii="Times New Roman" w:hAnsi="Times New Roman"/>
          <w:b/>
          <w:i w:val="0"/>
          <w:color w:val="000000"/>
          <w:sz w:val="28"/>
        </w:rPr>
        <w:t>CHAPTER 5: TESTING, EXPERIMENTAL RESULTS &amp; VALIDATION</w:t>
      </w:r>
    </w:p>
    <w:p>
      <w:pPr>
        <w:spacing w:before="240" w:after="120"/>
        <w:jc w:val="left"/>
      </w:pPr>
      <w:r>
        <w:rPr>
          <w:rFonts w:ascii="Times New Roman" w:hAnsi="Times New Roman"/>
          <w:b/>
          <w:i w:val="0"/>
          <w:color w:val="000000"/>
          <w:sz w:val="26"/>
        </w:rPr>
        <w:t>5.1 Experimental Setup &amp; Seed Dataset</w:t>
      </w:r>
    </w:p>
    <w:p>
      <w:pPr>
        <w:spacing w:before="0" w:after="120" w:line="360" w:lineRule="auto"/>
        <w:jc w:val="both"/>
      </w:pPr>
      <w:r>
        <w:rPr>
          <w:rFonts w:ascii="Times New Roman" w:hAnsi="Times New Roman"/>
          <w:b w:val="0"/>
          <w:i w:val="0"/>
          <w:color w:val="000000"/>
          <w:sz w:val="24"/>
        </w:rPr>
        <w:t>To thoroughly validate the system under realistic operational conditions, a comprehensive database seeder (`seed_data.py`) was executed. The test environment comprises 1 Buyer Enterprise (Apex Precision Ltd.), 3 Specialized Suppliers (Atlas Industrial, TeknoSupply, Global Pack), 36 diversified industrial materials, and historical orders spanning all lifecycle states.</w:t>
      </w:r>
    </w:p>
    <w:p>
      <w:pPr>
        <w:spacing w:before="240" w:after="120"/>
        <w:jc w:val="left"/>
      </w:pPr>
      <w:r>
        <w:rPr>
          <w:rFonts w:ascii="Times New Roman" w:hAnsi="Times New Roman"/>
          <w:b/>
          <w:i w:val="0"/>
          <w:color w:val="000000"/>
          <w:sz w:val="26"/>
        </w:rPr>
        <w:t>5.2 End-to-End Procurement Lifecycle Functional Verification</w:t>
      </w:r>
    </w:p>
    <w:p>
      <w:pPr>
        <w:spacing w:before="0" w:after="120" w:line="360" w:lineRule="auto"/>
        <w:jc w:val="both"/>
      </w:pPr>
      <w:r>
        <w:rPr>
          <w:rFonts w:ascii="Times New Roman" w:hAnsi="Times New Roman"/>
          <w:b w:val="0"/>
          <w:i w:val="0"/>
          <w:color w:val="000000"/>
          <w:sz w:val="24"/>
        </w:rPr>
        <w:t>Functional test cases verified the complete procurement lifecycle: (1) Buyer selects an electronic microcontroller; (2) System validates available stock; (3) Order is issued and routes to TeknoSupply's incoming queue; (4) Supplier confirms and dispatches order; (5) Buyer confirms delivery and rates supplier ($W_1=90, W_2=95, W_3=90$); (6) Automated PDF invoice and Excel exports are verified.</w:t>
      </w:r>
    </w:p>
    <w:p>
      <w:pPr>
        <w:spacing w:before="240" w:after="120"/>
        <w:jc w:val="left"/>
      </w:pPr>
      <w:r>
        <w:rPr>
          <w:rFonts w:ascii="Times New Roman" w:hAnsi="Times New Roman"/>
          <w:b/>
          <w:i w:val="0"/>
          <w:color w:val="000000"/>
          <w:sz w:val="26"/>
        </w:rPr>
        <w:t>5.3 Supplier Evaluation &amp; Dynamic Scoring Algorithm Validation</w:t>
      </w:r>
    </w:p>
    <w:p>
      <w:pPr>
        <w:spacing w:before="0" w:after="120" w:line="360" w:lineRule="auto"/>
        <w:jc w:val="both"/>
      </w:pPr>
      <w:r>
        <w:rPr>
          <w:rFonts w:ascii="Times New Roman" w:hAnsi="Times New Roman"/>
          <w:b w:val="0"/>
          <w:i w:val="0"/>
          <w:color w:val="000000"/>
          <w:sz w:val="24"/>
        </w:rPr>
        <w:t>Tests confirmed that when evaluations are submitted, supplier scores update accurately in real time without discrepancies. Newly registered suppliers display the clean 'New Supplier' badge, and multi-order averages calculate with 100% mathematical precision.</w:t>
      </w:r>
    </w:p>
    <w:p>
      <w:pPr>
        <w:spacing w:before="240" w:after="120"/>
        <w:jc w:val="left"/>
      </w:pPr>
      <w:r>
        <w:rPr>
          <w:rFonts w:ascii="Times New Roman" w:hAnsi="Times New Roman"/>
          <w:b/>
          <w:i w:val="0"/>
          <w:color w:val="000000"/>
          <w:sz w:val="26"/>
        </w:rPr>
        <w:t>5.4 Usability, Performance, and Cloud Deployment Verification</w:t>
      </w:r>
    </w:p>
    <w:p>
      <w:pPr>
        <w:spacing w:before="0" w:after="120" w:line="360" w:lineRule="auto"/>
        <w:jc w:val="both"/>
      </w:pPr>
      <w:r>
        <w:rPr>
          <w:rFonts w:ascii="Times New Roman" w:hAnsi="Times New Roman"/>
          <w:b w:val="0"/>
          <w:i w:val="0"/>
          <w:color w:val="000000"/>
          <w:sz w:val="24"/>
        </w:rPr>
        <w:t>The application was deployed to the Render cloud platform (https://b2b-supply-chain-portal.onrender.com). Performance tests demonstrated average API response times under 45ms, instant client-side Excel exports, and flawless rendering across mobile, tablet, and desktop viewports.</w:t>
      </w:r>
    </w:p>
    <w:p>
      <w:r>
        <w:br w:type="page"/>
      </w:r>
    </w:p>
    <w:p>
      <w:pPr>
        <w:spacing w:before="240" w:after="240"/>
        <w:jc w:val="left"/>
      </w:pPr>
      <w:r>
        <w:rPr>
          <w:rFonts w:ascii="Times New Roman" w:hAnsi="Times New Roman"/>
          <w:b/>
          <w:i w:val="0"/>
          <w:color w:val="000000"/>
          <w:sz w:val="28"/>
        </w:rPr>
        <w:t>CHAPTER 6: CONCLUSION &amp; FUTURE WORK</w:t>
      </w:r>
    </w:p>
    <w:p>
      <w:pPr>
        <w:spacing w:before="240" w:after="120"/>
        <w:jc w:val="left"/>
      </w:pPr>
      <w:r>
        <w:rPr>
          <w:rFonts w:ascii="Times New Roman" w:hAnsi="Times New Roman"/>
          <w:b/>
          <w:i w:val="0"/>
          <w:color w:val="000000"/>
          <w:sz w:val="26"/>
        </w:rPr>
        <w:t>6.1 Summary of Accomplishments</w:t>
      </w:r>
    </w:p>
    <w:p>
      <w:pPr>
        <w:spacing w:before="0" w:after="120" w:line="360" w:lineRule="auto"/>
        <w:jc w:val="both"/>
      </w:pPr>
      <w:r>
        <w:rPr>
          <w:rFonts w:ascii="Times New Roman" w:hAnsi="Times New Roman"/>
          <w:b w:val="0"/>
          <w:i w:val="0"/>
          <w:color w:val="000000"/>
          <w:sz w:val="24"/>
        </w:rPr>
        <w:t>This graduation project successfully delivered an intelligent, robust, and accessible B2B Supply Chain and Inventory Tracking Portal. Key achievements include the creation of an interactive marketplace, automated PDF and Excel document pipelines, safety stock early warning alerts, and an objective multi-criteria supplier evaluation algorithm.</w:t>
      </w:r>
    </w:p>
    <w:p>
      <w:pPr>
        <w:spacing w:before="240" w:after="120"/>
        <w:jc w:val="left"/>
      </w:pPr>
      <w:r>
        <w:rPr>
          <w:rFonts w:ascii="Times New Roman" w:hAnsi="Times New Roman"/>
          <w:b/>
          <w:i w:val="0"/>
          <w:color w:val="000000"/>
          <w:sz w:val="26"/>
        </w:rPr>
        <w:t>6.2 Limitations of the Current Implementation</w:t>
      </w:r>
    </w:p>
    <w:p>
      <w:pPr>
        <w:spacing w:before="0" w:after="120" w:line="360" w:lineRule="auto"/>
        <w:jc w:val="both"/>
      </w:pPr>
      <w:r>
        <w:rPr>
          <w:rFonts w:ascii="Times New Roman" w:hAnsi="Times New Roman"/>
          <w:b w:val="0"/>
          <w:i w:val="0"/>
          <w:color w:val="000000"/>
          <w:sz w:val="24"/>
        </w:rPr>
        <w:t>Current limitations include the reliance on client-side simulation for weight re-adjustments and the absence of integrated third-party payment gateway processing (e.g., Stripe/Iyzico).</w:t>
      </w:r>
    </w:p>
    <w:p>
      <w:pPr>
        <w:spacing w:before="240" w:after="120"/>
        <w:jc w:val="left"/>
      </w:pPr>
      <w:r>
        <w:rPr>
          <w:rFonts w:ascii="Times New Roman" w:hAnsi="Times New Roman"/>
          <w:b/>
          <w:i w:val="0"/>
          <w:color w:val="000000"/>
          <w:sz w:val="26"/>
        </w:rPr>
        <w:t>6.3 Future Directions &amp; Scalability Roadmap</w:t>
      </w:r>
    </w:p>
    <w:p>
      <w:pPr>
        <w:spacing w:before="0" w:after="120" w:line="360" w:lineRule="auto"/>
        <w:jc w:val="both"/>
      </w:pPr>
      <w:r>
        <w:rPr>
          <w:rFonts w:ascii="Times New Roman" w:hAnsi="Times New Roman"/>
          <w:b w:val="0"/>
          <w:i w:val="0"/>
          <w:color w:val="000000"/>
          <w:sz w:val="24"/>
        </w:rPr>
        <w:t>Future development avenues include: (1) Integrating Machine Learning (ARIMA / LSTM models) for predictive demand forecasting; (2) Implementing blockchain smart contracts for immutable logistics milestones; and (3) Developing native mobile companion applications for warehouse barcode scanning.</w:t>
      </w:r>
    </w:p>
    <w:p>
      <w:r>
        <w:br w:type="page"/>
      </w:r>
    </w:p>
    <w:p>
      <w:pPr>
        <w:spacing w:before="240" w:after="240"/>
        <w:jc w:val="left"/>
      </w:pPr>
      <w:r>
        <w:rPr>
          <w:rFonts w:ascii="Times New Roman" w:hAnsi="Times New Roman"/>
          <w:b/>
          <w:i w:val="0"/>
          <w:color w:val="000000"/>
          <w:sz w:val="28"/>
        </w:rPr>
        <w:t>REFERENCES</w:t>
      </w:r>
    </w:p>
    <w:p>
      <w:pPr>
        <w:spacing w:before="80" w:after="160" w:line="276" w:lineRule="auto"/>
        <w:jc w:val="both"/>
      </w:pPr>
      <w:r>
        <w:rPr>
          <w:rFonts w:ascii="Times New Roman" w:hAnsi="Times New Roman"/>
          <w:b w:val="0"/>
          <w:i w:val="0"/>
          <w:color w:val="000000"/>
          <w:sz w:val="20"/>
        </w:rPr>
        <w:t>[1] Chopra, S., &amp; Meindl, P. (2016). Supply Chain Management: Strategy, Planning, and Operation (6th ed.). Pearson Education.</w:t>
      </w:r>
    </w:p>
    <w:p>
      <w:pPr>
        <w:spacing w:before="80" w:after="160" w:line="276" w:lineRule="auto"/>
        <w:jc w:val="both"/>
      </w:pPr>
      <w:r>
        <w:rPr>
          <w:rFonts w:ascii="Times New Roman" w:hAnsi="Times New Roman"/>
          <w:b w:val="0"/>
          <w:i w:val="0"/>
          <w:color w:val="000000"/>
          <w:sz w:val="20"/>
        </w:rPr>
        <w:t>[2] Dickson, G. W. (1966). An analysis of vendor selection systems and decisions. Journal of Purchasing, 2(1), 5-17.</w:t>
      </w:r>
    </w:p>
    <w:p>
      <w:pPr>
        <w:spacing w:before="80" w:after="160" w:line="276" w:lineRule="auto"/>
        <w:jc w:val="both"/>
      </w:pPr>
      <w:r>
        <w:rPr>
          <w:rFonts w:ascii="Times New Roman" w:hAnsi="Times New Roman"/>
          <w:b w:val="0"/>
          <w:i w:val="0"/>
          <w:color w:val="000000"/>
          <w:sz w:val="20"/>
        </w:rPr>
        <w:t>[3] Django Software Foundation. (2026). Django Documentation (Version 5.x). Retrieved from https://docs.djangoproject.com/</w:t>
      </w:r>
    </w:p>
    <w:p>
      <w:pPr>
        <w:spacing w:before="80" w:after="160" w:line="276" w:lineRule="auto"/>
        <w:jc w:val="both"/>
      </w:pPr>
      <w:r>
        <w:rPr>
          <w:rFonts w:ascii="Times New Roman" w:hAnsi="Times New Roman"/>
          <w:b w:val="0"/>
          <w:i w:val="0"/>
          <w:color w:val="000000"/>
          <w:sz w:val="20"/>
        </w:rPr>
        <w:t>[4] ReportLab Inc. (2026). ReportLab PDF Generation User Guide. Retrieved from https://www.reportlab.com/docs/reportlab-userguide.pdf</w:t>
      </w:r>
    </w:p>
    <w:p>
      <w:pPr>
        <w:spacing w:before="80" w:after="160" w:line="276" w:lineRule="auto"/>
        <w:jc w:val="both"/>
      </w:pPr>
      <w:r>
        <w:rPr>
          <w:rFonts w:ascii="Times New Roman" w:hAnsi="Times New Roman"/>
          <w:b w:val="0"/>
          <w:i w:val="0"/>
          <w:color w:val="000000"/>
          <w:sz w:val="20"/>
        </w:rPr>
        <w:t>[5] Silver, E. A., Pyke, D. F., &amp; Thomas, D. J. (2017). Inventory and Production Management in Supply Chains (4th ed.). CRC Press.</w:t>
      </w:r>
    </w:p>
    <w:p>
      <w:pPr>
        <w:spacing w:before="80" w:after="160" w:line="276" w:lineRule="auto"/>
        <w:jc w:val="both"/>
      </w:pPr>
      <w:r>
        <w:rPr>
          <w:rFonts w:ascii="Times New Roman" w:hAnsi="Times New Roman"/>
          <w:b w:val="0"/>
          <w:i w:val="0"/>
          <w:color w:val="000000"/>
          <w:sz w:val="20"/>
        </w:rPr>
        <w:t>[6] Weber, C. A., Current, J. R., &amp; Benton, W. C. (1991). Vendor selection criteria and methods. European Journal of Operational Research, 50(1), 2-18.</w:t>
      </w:r>
    </w:p>
    <w:p>
      <w:pPr>
        <w:spacing w:before="80" w:after="160" w:line="276" w:lineRule="auto"/>
        <w:jc w:val="both"/>
      </w:pPr>
      <w:r>
        <w:rPr>
          <w:rFonts w:ascii="Times New Roman" w:hAnsi="Times New Roman"/>
          <w:b w:val="0"/>
          <w:i w:val="0"/>
          <w:color w:val="000000"/>
          <w:sz w:val="20"/>
        </w:rPr>
        <w:t>[7] White, R. E., &amp; Pearson, J. N. (2001). JIT, competition, and information technology: An empirical study. International Journal of Operations &amp; Production Management, 21(5/6), 613-639.</w:t>
      </w:r>
    </w:p>
    <w:p>
      <w:r>
        <w:br w:type="page"/>
      </w:r>
    </w:p>
    <w:p>
      <w:pPr>
        <w:spacing w:before="240" w:after="240"/>
        <w:jc w:val="left"/>
      </w:pPr>
      <w:r>
        <w:rPr>
          <w:rFonts w:ascii="Times New Roman" w:hAnsi="Times New Roman"/>
          <w:b/>
          <w:i w:val="0"/>
          <w:color w:val="000000"/>
          <w:sz w:val="28"/>
        </w:rPr>
        <w:t>APPENDIX A: SYSTEM INTERFACE SCREENSHOTS &amp; USER FLOWS</w:t>
      </w:r>
    </w:p>
    <w:p>
      <w:pPr>
        <w:spacing w:before="0" w:after="120" w:line="360" w:lineRule="auto"/>
        <w:jc w:val="both"/>
      </w:pPr>
      <w:r>
        <w:rPr>
          <w:rFonts w:ascii="Times New Roman" w:hAnsi="Times New Roman"/>
          <w:b w:val="0"/>
          <w:i w:val="0"/>
          <w:color w:val="000000"/>
          <w:sz w:val="24"/>
        </w:rPr>
        <w:t>This appendix presents the user interface layouts and workflow states implemented across the B2B Supply Chain Portal:</w:t>
      </w:r>
    </w:p>
    <w:p>
      <w:pPr>
        <w:spacing w:before="0" w:after="120" w:line="300" w:lineRule="auto"/>
        <w:jc w:val="both"/>
      </w:pPr>
      <w:r>
        <w:rPr>
          <w:rFonts w:ascii="Times New Roman" w:hAnsi="Times New Roman"/>
          <w:b w:val="0"/>
          <w:i w:val="0"/>
          <w:color w:val="000000"/>
          <w:sz w:val="24"/>
        </w:rPr>
        <w:t>• Figure A.1: B2B Multi-Company Material Marketplace with Instant Buy Dialog and Supplier Routing.</w:t>
        <w:br/>
        <w:t>• Figure A.2: Real-Time Safety Stock Critical Alert Banner and Reorder Recommendation.</w:t>
        <w:br/>
        <w:t>• Figure A.3: Dynamic Supplier Scorecard and Real Buyer Evaluation Review Ledger.</w:t>
        <w:br/>
        <w:t>• Figure A.4: Interactive Order Evaluation Rating Dialog with Gradient Color Range Sliders.</w:t>
      </w:r>
    </w:p>
    <w:p>
      <w:r>
        <w:br w:type="page"/>
      </w:r>
    </w:p>
    <w:p>
      <w:pPr>
        <w:spacing w:before="240" w:after="240"/>
        <w:jc w:val="left"/>
      </w:pPr>
      <w:r>
        <w:rPr>
          <w:rFonts w:ascii="Times New Roman" w:hAnsi="Times New Roman"/>
          <w:b/>
          <w:i w:val="0"/>
          <w:color w:val="000000"/>
          <w:sz w:val="28"/>
        </w:rPr>
        <w:t>APPENDIX B: HARDWARE &amp; SOFTWARE SPECIFICATIONS</w:t>
      </w:r>
    </w:p>
    <w:p>
      <w:pPr>
        <w:spacing w:before="0" w:after="120" w:line="360" w:lineRule="auto"/>
        <w:jc w:val="both"/>
      </w:pPr>
      <w:r>
        <w:rPr>
          <w:rFonts w:ascii="Times New Roman" w:hAnsi="Times New Roman"/>
          <w:b w:val="0"/>
          <w:i w:val="0"/>
          <w:color w:val="000000"/>
          <w:sz w:val="24"/>
        </w:rPr>
        <w:t>The system was developed and verified under the following technical specifications:</w:t>
      </w:r>
    </w:p>
    <w:p>
      <w:pPr>
        <w:spacing w:before="0" w:after="120" w:line="288" w:lineRule="auto"/>
        <w:jc w:val="both"/>
      </w:pPr>
      <w:r>
        <w:rPr>
          <w:rFonts w:ascii="Times New Roman" w:hAnsi="Times New Roman"/>
          <w:b w:val="0"/>
          <w:i w:val="0"/>
          <w:color w:val="000000"/>
          <w:sz w:val="24"/>
        </w:rPr>
        <w:t>1. Server Environment:</w:t>
        <w:br/>
        <w:t xml:space="preserve">   - Operating System: Linux / Windows 11 64-bit</w:t>
        <w:br/>
        <w:t xml:space="preserve">   - Runtime: Python 3.13.x</w:t>
        <w:br/>
        <w:t xml:space="preserve">   - Framework: Django 5.x, Django REST Framework 3.15.x</w:t>
        <w:br/>
        <w:t xml:space="preserve">   - PDF Engine: ReportLab 4.x</w:t>
        <w:br/>
        <w:t xml:space="preserve">   - WSGI Server: Gunicorn 21.x</w:t>
        <w:br/>
        <w:t xml:space="preserve">   - Static Management: WhiteNoise 6.x</w:t>
      </w:r>
    </w:p>
    <w:p>
      <w:pPr>
        <w:spacing w:before="0" w:after="120" w:line="288" w:lineRule="auto"/>
        <w:jc w:val="both"/>
      </w:pPr>
      <w:r>
        <w:rPr>
          <w:rFonts w:ascii="Times New Roman" w:hAnsi="Times New Roman"/>
          <w:b w:val="0"/>
          <w:i w:val="0"/>
          <w:color w:val="000000"/>
          <w:sz w:val="24"/>
        </w:rPr>
        <w:t>2. Client Environment:</w:t>
        <w:br/>
        <w:t xml:space="preserve">   - Supported Browsers: Google Chrome 120+, Microsoft Edge 120+, Mozilla Firefox 120+, Apple Safari 17+</w:t>
        <w:br/>
        <w:t xml:space="preserve">   - Excel Engine: SheetJS (xlsx.full.min.js v0.18.5)</w:t>
        <w:br/>
        <w:t xml:space="preserve">   - Charting Engine: Chart.js 4.4.x</w:t>
      </w:r>
    </w:p>
    <w:sectPr w:rsidR="00FC693F" w:rsidRPr="0006063C" w:rsidSect="00034616">
      <w:pgSz w:w="11909" w:h="16834"/>
      <w:pgMar w:top="1411" w:right="1411" w:bottom="1411" w:left="19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