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Kupatakip: Scoring Ratio Analysis</w:t>
      </w:r>
    </w:p>
    <w:p>
      <w:r>
        <w:rPr>
          <w:i/>
          <w:color w:val="606060"/>
          <w:sz w:val="20"/>
        </w:rPr>
        <w:t>Prepared 2026-07-17  ·  19 participants  ·  hypothetical scenario: Spain vs. Argentina final, Argentina champion</w:t>
      </w:r>
    </w:p>
    <w:p>
      <w:pPr>
        <w:pStyle w:val="Heading1"/>
      </w:pPr>
      <w:r>
        <w:t>1. The Question</w:t>
      </w:r>
    </w:p>
    <w:p>
      <w:r>
        <w:rPr>
          <w:i w:val="0"/>
        </w:rPr>
        <w:t>Kupatakip currently scores a correctly-predicted team at 1 / 2 / 3 / 5 / 8 points for reaching RO16 / QF / SF / Final / Champion — the Fibonacci sequence, chosen originally because it was a fun, recognizable curve. The ratio between consecutive values is not constant, though: 2/1 = 2.00, 3/2 = 1.50, 5/3 = 1.67, 8/5 = 1.60. It drifts around — and only asymptotically approaches the golden ratio φ ≈ 1.618 that Fibonacci ratios are famous for converging to. The early jump (RO16 is worth a full double of RO32-survival) is steeper than anything that follows.</w:t>
      </w:r>
    </w:p>
    <w:p>
      <w:r>
        <w:rPr>
          <w:i w:val="0"/>
        </w:rPr>
        <w:t>The question: for future brackets, is it worth replacing “the Fibonacci numbers” with a clean, constant-ratio curve — 1, r, r², r³, r⁴ — and if so, what should r be? This analysis tests r from 1.00 (flat, every round worth the same) up to φ ≈ 1.618 (the ratio the current scheme already gestures at), and evaluates how the standings would have shaken out under each, assuming Argentina beats Spain in the final — the simplifying assumption requested for this exercise. This is subjective: there's no single objectively “correct” curve, only trade-offs. The goal is to make those trade-offs legible.</w:t>
      </w:r>
    </w:p>
    <w:p>
      <w:pPr>
        <w:pStyle w:val="Heading1"/>
      </w:pPr>
      <w:r>
        <w:t>2. Method</w:t>
      </w:r>
    </w:p>
    <w:p>
      <w:r>
        <w:rPr>
          <w:i w:val="0"/>
        </w:rPr>
        <w:t>For each candidate ratio r, round points were set to r⁰, r¹, r², r³, r⁴ for Son16 / ÇF / YF / Final / Şampiyon respectively. All 28 decided matches (through the semifinals, already real: Spain and Argentina are the actual finalists) were scored as-is; the final was scored as an Argentina win for every scenario. Two extra checkpoints (r = 1.35, 1.40) were added around a crossover found in the lead group, to localize it precisely.</w:t>
      </w:r>
    </w:p>
    <w:p>
      <w:r>
        <w:rPr>
          <w:i w:val="0"/>
        </w:rPr>
        <w:t>Each scenario was compared on:</w:t>
      </w:r>
    </w:p>
    <w:p>
      <w:pPr>
        <w:pStyle w:val="ListBullet"/>
      </w:pPr>
      <w:r>
        <w:t>Winner's margin over 2nd place, as a % of the winner's score — how decisive the result feels.</w:t>
      </w:r>
    </w:p>
    <w:p>
      <w:pPr>
        <w:pStyle w:val="ListBullet"/>
      </w:pPr>
      <w:r>
        <w:t>Tie density — how many participants end up exactly level with someone else. Ties undercut the point of a leaderboard.</w:t>
      </w:r>
    </w:p>
    <w:p>
      <w:pPr>
        <w:pStyle w:val="ListBullet"/>
      </w:pPr>
      <w:r>
        <w:t>Spearman rank correlation (ρ) against two reference orderings: the r = 1.00 ranking (pure pick-accuracy, ignoring which round a pick landed in) and the live Fibonacci ranking (what the site actually shows today). ρ = 1.0 means identical order; lower means more reshuffling.</w:t>
      </w:r>
    </w:p>
    <w:p>
      <w:pPr>
        <w:pStyle w:val="Heading1"/>
      </w:pPr>
      <w:r>
        <w:t>3. Point Schedules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880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296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Son16</w:t>
            </w:r>
          </w:p>
        </w:tc>
        <w:tc>
          <w:tcPr>
            <w:tcW w:type="dxa" w:w="1296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ÇF</w:t>
            </w:r>
          </w:p>
        </w:tc>
        <w:tc>
          <w:tcPr>
            <w:tcW w:type="dxa" w:w="1296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YF</w:t>
            </w:r>
          </w:p>
        </w:tc>
        <w:tc>
          <w:tcPr>
            <w:tcW w:type="dxa" w:w="1296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Final</w:t>
            </w:r>
          </w:p>
        </w:tc>
        <w:tc>
          <w:tcPr>
            <w:tcW w:type="dxa" w:w="1440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Şampiyon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 = 1.00 (flat)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 = 1.15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1.15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1.322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1.521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1.749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 = 1.30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1.69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2.197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2.856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 = 1.35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1.35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1.823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2.46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3.322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 = 1.40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2.744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3.842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 = 1.45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1.45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2.103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3.049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4.421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 = 1.50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2.25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3.375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5.063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 = φ ≈ 1.618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1.618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2.618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4.236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6.854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Fibonacci (current, live)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</w:tr>
    </w:tbl>
    <w:p>
      <w:pPr>
        <w:pStyle w:val="Heading1"/>
      </w:pPr>
      <w:r>
        <w:t>4. Summary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2448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160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Winner</w:t>
            </w:r>
          </w:p>
        </w:tc>
        <w:tc>
          <w:tcPr>
            <w:tcW w:type="dxa" w:w="1152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  <w:br/>
              <w:t>vs 2nd</w:t>
            </w:r>
          </w:p>
        </w:tc>
        <w:tc>
          <w:tcPr>
            <w:tcW w:type="dxa" w:w="1008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Tied</w:t>
              <w:br/>
              <w:t>(of 19)</w:t>
            </w:r>
          </w:p>
        </w:tc>
        <w:tc>
          <w:tcPr>
            <w:tcW w:type="dxa" w:w="1152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1st place</w:t>
              <w:br/>
              <w:t>tied?</w:t>
            </w:r>
          </w:p>
        </w:tc>
        <w:tc>
          <w:tcPr>
            <w:tcW w:type="dxa" w:w="1152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ρ vs</w:t>
              <w:br/>
              <w:t>accuracy</w:t>
            </w:r>
          </w:p>
        </w:tc>
        <w:tc>
          <w:tcPr>
            <w:tcW w:type="dxa" w:w="1152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ρ vs</w:t>
              <w:br/>
              <w:t>Fibonacci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 = 1.00 (flat)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Kuzey Emre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1.000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0.804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 = 1.15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Berk Uzun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0.5%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0.943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0.882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 = 1.30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Berk Uzun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0.953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 = 1.35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Berk Uzun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0.862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0.977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 = 1.40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Berk Uzun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0.2%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0.981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 = 1.45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Bedirhan Çakır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0.4%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0.982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 = 1.50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Bedirhan Çakır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0.982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 = φ ≈ 1.618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Bedirhan Çakır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2.2%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0.809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0.999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Fibonacci (current, live)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Bedirhan Çakır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2.0%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0.804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1.000</w:t>
            </w:r>
          </w:p>
        </w:tc>
      </w:tr>
    </w:tbl>
    <w:p>
      <w:r>
        <w:rPr>
          <w:i w:val="0"/>
          <w:sz w:val="21"/>
        </w:rPr>
        <w:t>Reading the table: ties bottom out in the middle of the range (4/19, two pairs, never at 1st) and climb back up at both extremes — at r = 1.00 because everything averages out into similar totals (16/19 tied with someone, including a tied 1st), and at r = 1.618 / Fibonacci because the score becomes dominated by two or three big late picks, so anyone who agrees on those picks collapses into an exact tie regardless of earlier differences. ρ-vs-accuracy falls steadily as r grows (the ranking increasingly reflects “did you call the final and champion” rather than “how much did you get right overall”), while ρ-vs-Fibonacci climbs and essentially saturates by r = 1.45–1.50.</w:t>
      </w:r>
    </w:p>
    <w:p>
      <w:pPr>
        <w:pStyle w:val="Heading1"/>
      </w:pPr>
      <w:r>
        <w:t>5. What Actually Moves</w:t>
      </w:r>
    </w:p>
    <w:p>
      <w:r>
        <w:rPr>
          <w:i w:val="0"/>
        </w:rPr>
        <w:t>Look at the full rank matrix (§6) and one thing jumps out: places 11 through 19 are essentially ratio-invariant — Mert Gürgenyataǧı through Emre Bulut hold the same relative order in every single scenario, flat to Fibonacci. The ratio choice doesn't touch the bottom two-thirds of the table; it only re-litigates the top.</w:t>
      </w:r>
    </w:p>
    <w:p>
      <w:r>
        <w:rPr>
          <w:i w:val="0"/>
        </w:rPr>
        <w:t>The real contest is a three-way fight between Berk Uzun, Kuzey Emre, and Bedirhan Çakır. All three correctly picked all four semifinalists and correctly picked Argentina champion. The difference is the final: Bedirhan Çakır predicted İspanya + Arjantin (both actual finalists — full marks twice over), while Berk Uzun and Kuzey Emre predicted Fransa + Arjantin (France never made the final, so only one of their two final-round picks pays out). At low ratios that one-pick gap barely matters and Berk Uzun leads throughout r = 1.00–1.40. As the final round is weighted more heavily, the gap compounds — Bedirhan Çakır overtakes for good between r = 1.40 (Berk Uzun 36.27 vs. Bedirhan Çakır 36.21, essentially a coin flip) and r = 1.45 (Bedirhan Çakır 38.08 vs. Berk Uzun 37.93). From there the order is locked for the rest of the range tested — only the margin keeps growing.</w:t>
      </w:r>
    </w:p>
    <w:p>
      <w:r>
        <w:rPr>
          <w:i w:val="0"/>
          <w:sz w:val="21"/>
        </w:rPr>
        <w:t>That crossover is a good illustration of what “raising the ratio” actually buys: not a different set of contenders, but a decision about which contender wins among people who were already neck-and-neck, based on whether nailing both finalists should outweigh a stronger semifinal-round pick. There's no correct answer to that — it's exactly the subjective call this document is trying to make legible.</w:t>
      </w:r>
    </w:p>
    <w:p>
      <w:pPr>
        <w:pStyle w:val="Heading1"/>
      </w:pPr>
      <w:r>
        <w:t>6. Rank Matrix</w:t>
      </w:r>
    </w:p>
    <w:p>
      <w:r>
        <w:rPr>
          <w:i/>
          <w:sz w:val="20"/>
        </w:rPr>
        <w:t>Each participant's placement under each scoring scheme, sorted by their current (live) Fibonacci rank. 1.35 and 1.40 are omitted here for width — see §5 for their exact values.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2592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Participant</w:t>
            </w:r>
          </w:p>
        </w:tc>
        <w:tc>
          <w:tcPr>
            <w:tcW w:type="dxa" w:w="1080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1.00</w:t>
            </w:r>
          </w:p>
        </w:tc>
        <w:tc>
          <w:tcPr>
            <w:tcW w:type="dxa" w:w="1080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1.15</w:t>
            </w:r>
          </w:p>
        </w:tc>
        <w:tc>
          <w:tcPr>
            <w:tcW w:type="dxa" w:w="1080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1.30</w:t>
            </w:r>
          </w:p>
        </w:tc>
        <w:tc>
          <w:tcPr>
            <w:tcW w:type="dxa" w:w="1080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1.45</w:t>
            </w:r>
          </w:p>
        </w:tc>
        <w:tc>
          <w:tcPr>
            <w:tcW w:type="dxa" w:w="1080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1.50</w:t>
            </w:r>
          </w:p>
        </w:tc>
        <w:tc>
          <w:tcPr>
            <w:tcW w:type="dxa" w:w="1080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1.618</w:t>
            </w:r>
          </w:p>
        </w:tc>
        <w:tc>
          <w:tcPr>
            <w:tcW w:type="dxa" w:w="1080"/>
            <w:shd w:val="clear" w:color="auto"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Fib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Bedirhan Çakır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Berk Uzun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Kuzey Emre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Serhat Gürgenyatağı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Burak Arslantürk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Demir Öztürk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Batu Balcı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Barış Başar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Yiğit Yıldırım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Enes Özşen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Burak Onur Uysal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Emin Balçın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Batu Çataklı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Mert Gürgenyatağı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Talha Kılıç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Yusuf Şahin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Emir Çiftçi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Bahadır Seril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Emre Bulut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</w:tr>
    </w:tbl>
    <w:p>
      <w:pPr>
        <w:pStyle w:val="Heading1"/>
      </w:pPr>
      <w:r>
        <w:t>7. Reading the Range</w:t>
      </w:r>
    </w:p>
    <w:p>
      <w:pPr>
        <w:pStyle w:val="Heading2"/>
      </w:pPr>
      <w:r>
        <w:t>r ≈ 1.00 — avoid</w:t>
      </w:r>
    </w:p>
    <w:p>
      <w:r>
        <w:rPr>
          <w:i w:val="0"/>
        </w:rPr>
        <w:t>Every correct pick is worth the same regardless of round, so the leaderboard is just a count of hits. 16 of 19 participants are tied with someone, including a tied 1st place (Kuzey Emre and Berk Uzun, both 26). For a leaderboard whose entire appeal is bragging rights, an actual tie for the win is the single worst outcome it can produce. It also flattens the drama — correctly calling the champion is worth exactly as much as correctly calling a round-of-32 upset, which undersells the difficulty and suspense of the later rounds.</w:t>
      </w:r>
    </w:p>
    <w:p>
      <w:pPr>
        <w:pStyle w:val="Heading2"/>
      </w:pPr>
      <w:r>
        <w:t>r ≈ 1.15–1.30 — functional, but low stakes</w:t>
      </w:r>
    </w:p>
    <w:p>
      <w:r>
        <w:rPr>
          <w:i w:val="0"/>
        </w:rPr>
        <w:t>Ties drop immediately (4/19, no tie at 1st) and the standings start to look like a real leaderboard. But the margins are still tiny (0.5–0.9%) — the winner is barely ahead, and ρ-vs-accuracy is still ≥ 0.89, meaning the late rounds still aren't pulling much weight. This band fixes the tie problem without really answering the question of whether the final and champion picks should matter more.</w:t>
      </w:r>
    </w:p>
    <w:p>
      <w:pPr>
        <w:pStyle w:val="Heading2"/>
      </w:pPr>
      <w:r>
        <w:t>r ≈ 1.35–1.40 — the crossover, not a place to park the dial</w:t>
      </w:r>
    </w:p>
    <w:p>
      <w:r>
        <w:rPr>
          <w:i w:val="0"/>
        </w:rPr>
        <w:t>This is where lead flips from Berk Uzun to Bedirhan Çakır (see §5). Margins here are coincidentally tiny (as low as 0.2% at r = 1.40) simply because this is the exact pivot — not a meaningful property of this band. Useful to know where it is, not a band to deliberately land on.</w:t>
      </w:r>
    </w:p>
    <w:p>
      <w:pPr>
        <w:pStyle w:val="Heading2"/>
      </w:pPr>
      <w:r>
        <w:t>r ≈ 1.45–1.50 — the sweet spot</w:t>
      </w:r>
    </w:p>
    <w:p>
      <w:r>
        <w:rPr>
          <w:i w:val="0"/>
        </w:rPr>
        <w:t>Once past the crossover, the ranking stabilizes: ρ-vs-accuracy and ρ-vs-Fibonacci both plateau (0.850 / 0.982 at both r = 1.45 and r = 1.50 — the order genuinely stops changing, only the point gaps grow). Ties stay at their floor (4/19, none at 1st). Margins climb to a believable “yes, someone actually won” range (0.4–0.9%, and growing) without the field collapsing into a champion-pick lottery. This is the best-behaved region found in the whole sweep: decisive, low-tie, and the rank order is robust to being off by a couple hundredths in either direction — which matters, because you have to fix r before the bracket starts, with no way to tune it after the fact.</w:t>
      </w:r>
    </w:p>
    <w:p>
      <w:pPr>
        <w:pStyle w:val="Heading2"/>
      </w:pPr>
      <w:r>
        <w:t>r = φ ≈ 1.618 — elegant, but starting to overcorrect</w:t>
      </w:r>
    </w:p>
    <w:p>
      <w:r>
        <w:rPr>
          <w:i w:val="0"/>
        </w:rPr>
        <w:t>This nearly perfectly reproduces the live Fibonacci order (ρ = 0.999) — a nice confirmation that “the Fibonacci numbers” already behaves like a golden-ratio scheme in practice, lumpy early jump aside. But ties creep back up (7/19) and ρ-vs-accuracy drops to its lowest point among the constant-ratio scenarios (0.809), meaning the story is now mostly about the final and champion picks. It's the mathematically elegant choice, not necessarily the most fun leaderboard to follow all tournament.</w:t>
      </w:r>
    </w:p>
    <w:p>
      <w:pPr>
        <w:pStyle w:val="Heading2"/>
      </w:pPr>
      <w:r>
        <w:t>Fibonacci (current, live) — charming, but not actually principled</w:t>
      </w:r>
    </w:p>
    <w:p>
      <w:r>
        <w:rPr>
          <w:i w:val="0"/>
        </w:rPr>
        <w:t>The most dramatic scenario tested — the widest point spread (37.0) and the most ties (9/19) at the same time, because the ratio jumps around instead of growing smoothly. The RO32→RO16 jump (×2.00) is about 25% steeper than the sequence's own long-run rate (×1.618), which is an artifact of starting the sequence at 1, 2 rather than a deliberate design choice. It reads as intentional (“it's the Fibonacci numbers” is a great piece of flavor text) but the actual curve shape is closer to an accident than a decision.</w:t>
      </w:r>
    </w:p>
    <w:p>
      <w:pPr>
        <w:pStyle w:val="Heading1"/>
      </w:pPr>
      <w:r>
        <w:t>8. Recommendation</w:t>
      </w:r>
    </w:p>
    <w:p>
      <w:r>
        <w:rPr>
          <w:i w:val="0"/>
        </w:rPr>
        <w:t>For future brackets: r = 1.5. Point schedule 1 / 1.5 / 2.25 / 3.375 / 5.0625 (round to whatever precision is convenient for display — e.g. 1 / 1.5 / 2.25 / 3.38 / 5.06).</w:t>
      </w:r>
    </w:p>
    <w:p>
      <w:pPr>
        <w:pStyle w:val="ListBullet"/>
      </w:pPr>
      <w:r>
        <w:t>It sits inside the stable plateau (§7) — same rank order as r = 1.45, so it isn't a knife-edge choice.</w:t>
      </w:r>
    </w:p>
    <w:p>
      <w:pPr>
        <w:pStyle w:val="ListBullet"/>
      </w:pPr>
      <w:r>
        <w:t>Tie count stays at its floor and nobody is tied for the win.</w:t>
      </w:r>
    </w:p>
    <w:p>
      <w:pPr>
        <w:pStyle w:val="ListBullet"/>
      </w:pPr>
      <w:r>
        <w:t>ρ-vs-accuracy ≈ 0.85, so the whole bracket still matters, not just the final two picks.</w:t>
      </w:r>
    </w:p>
    <w:p>
      <w:pPr>
        <w:pStyle w:val="ListBullet"/>
      </w:pPr>
      <w:r>
        <w:t>×1.5 per round is trivial to explain to participants — easier than justifying Fibonacci's uneven jumps or an irrational golden-ratio multiplier, and it's a clean callback to the golden-ratio framing without the early-jump lumpiness.</w:t>
      </w:r>
    </w:p>
    <w:p>
      <w:r>
        <w:rPr>
          <w:i w:val="0"/>
          <w:sz w:val="21"/>
        </w:rPr>
        <w:t>Counter-case for keeping true Fibonacci: if the “it's the Fibonacci numbers” bit is part of what makes the group chat enjoy this, that's a legitimate reason on its own — it's a vibes call, not a competitive-integrity one, and this analysis found nothing structurally broken about the current scheme (it's just the highest-tie, highest-swing option tested).</w:t>
      </w:r>
    </w:p>
    <w:p>
      <w:pPr>
        <w:pStyle w:val="Heading1"/>
      </w:pPr>
      <w:r>
        <w:t>9. Caveats</w:t>
      </w:r>
    </w:p>
    <w:p>
      <w:pPr>
        <w:pStyle w:val="ListBullet"/>
      </w:pPr>
      <w:r>
        <w:t>Single bracket, single friend group (n = 19), single hypothetical final (Argentina over Spain). A Spain win would redistribute the top of the table differently — the qualitative pattern (mid-range ratios minimize ties and stabilize rank order; both extremes regress toward messier ties) is more likely to generalize than the exact r = 1.5 figure.</w:t>
      </w:r>
    </w:p>
    <w:p>
      <w:pPr>
        <w:pStyle w:val="ListBullet"/>
      </w:pPr>
      <w:r>
        <w:t>This only tested constant-ratio curves. Non-geometric curves (e.g., flat early rounds with a steep late kicker) weren't explored and could behave differently.</w:t>
      </w:r>
    </w:p>
    <w:p>
      <w:pPr>
        <w:pStyle w:val="ListBullet"/>
      </w:pPr>
      <w:r>
        <w:t>“Best” here is defined as low ties + stable rank order + still-anchored-to-overall-accuracy. Reasonable people could weight those three differently and land somewhere else in the 1.35–1.618 range — this is the subjective part.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