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8E1B20"/>
          <w:sz w:val="44"/>
          <w:szCs w:val="44"/>
        </w:rPr>
        <w:t xml:space="preserve">AOM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E1F22"/>
          <w:sz w:val="34"/>
          <w:szCs w:val="34"/>
        </w:rPr>
        <w:t xml:space="preserve">Mağaza SEO ve Autonics Güç Elektronikleri İndeksi</w:t>
      </w:r>
    </w:p>
    <w:p>
      <w:pPr>
        <w:spacing w:after="240"/>
      </w:pPr>
      <w:r>
        <w:rPr>
          <w:rFonts w:ascii="Calibri" w:cs="Calibri" w:eastAsia="Calibri" w:hAnsi="Calibri"/>
          <w:color w:val="6B6B6B"/>
          <w:sz w:val="20"/>
          <w:szCs w:val="20"/>
        </w:rPr>
        <w:t xml:space="preserve">Çalışma raporu · 03-10-2026 · Yeni web sitesi (AOM_Web_v2_02-10-2026)</w:t>
      </w:r>
    </w:p>
    <w:p>
      <w:pPr>
        <w:spacing w:after="120"/>
      </w:pPr>
      <w:r>
        <w:rPr>
          <w:rFonts w:ascii="Calibri" w:cs="Calibri" w:eastAsia="Calibri" w:hAnsi="Calibri"/>
          <w:color w:val="1E1F22"/>
          <w:sz w:val="21"/>
          <w:szCs w:val="21"/>
        </w:rPr>
        <w:t xml:space="preserve">İki iş tamamlandı: mağazanın Ankara ve Türkiye geneli için SEO ayarları yapıldı ve Autonics sitesindeki Güç Elektronikleri altındaki bütün ürünler indekslendi. Site derlendi (254 sayfa); yeni sayfaların başlık, açıklama ve yapılandırılmış verisi kontrol edildi. Dosyalar bilgisayardaki site klasörüne yazıldı.</w:t>
      </w:r>
    </w:p>
    <w:p>
      <w:pPr>
        <w:pStyle w:val="Heading1"/>
        <w:pBdr>
          <w:bottom w:val="single" w:color="8E1B20" w:sz="8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8E1B20"/>
          <w:sz w:val="30"/>
          <w:szCs w:val="30"/>
        </w:rPr>
        <w:t xml:space="preserve">1. Mağaza SEO (Ankara + Türkiye geneli)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1F22"/>
          <w:sz w:val="21"/>
          <w:szCs w:val="21"/>
        </w:rPr>
        <w:t xml:space="preserve">Firma bilgisi: </w:t>
      </w:r>
      <w:r>
        <w:rPr>
          <w:rFonts w:ascii="Calibri" w:cs="Calibri" w:eastAsia="Calibri" w:hAnsi="Calibri"/>
          <w:sz w:val="21"/>
          <w:szCs w:val="21"/>
        </w:rPr>
        <w:t xml:space="preserve">Her sayfaya Google’ın okuduğu firma bilgisi eklendi: unvan, Yenimahalle / Ankara adresi, telefon, e-posta. Hizmet alanı “Ankara + Türkiye” olarak tanımlandı. Ankara bölge etiketi de eklendi.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1F22"/>
          <w:sz w:val="21"/>
          <w:szCs w:val="21"/>
        </w:rPr>
        <w:t xml:space="preserve">Yeni sayfalar: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 kategori sayfası: Solid State Röle (SSR) ve Tristörlü Güç Kontrol.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9 seri sayfası, örneğin “Autonics SRH1 Solid State Röle (SSR) Modelleri”.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Her birinde Türkçe başlık, açıklama, tanıtım metni ve sayfa yolu var. Bu sayfalar “SSR Ankara”, “tristörlü güç kontrol ünitesi” gibi aramalarda girilecek sayfalar.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1F22"/>
          <w:sz w:val="21"/>
          <w:szCs w:val="21"/>
        </w:rPr>
        <w:t xml:space="preserve">Ürün sayfaları: </w:t>
      </w:r>
      <w:r>
        <w:rPr>
          <w:rFonts w:ascii="Calibri" w:cs="Calibri" w:eastAsia="Calibri" w:hAnsi="Calibri"/>
          <w:sz w:val="21"/>
          <w:szCs w:val="21"/>
        </w:rPr>
        <w:t xml:space="preserve">Açıklamalarda “Ankara merkezli AOM’dan Türkiye geneline satış ve teklif” ifadesi var. Fiyat verisinde satış bölgesi Türkiye olarak tanımlı.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1F22"/>
          <w:sz w:val="21"/>
          <w:szCs w:val="21"/>
        </w:rPr>
        <w:t xml:space="preserve">Mağaza ana sayfası: </w:t>
      </w:r>
      <w:r>
        <w:rPr>
          <w:rFonts w:ascii="Calibri" w:cs="Calibri" w:eastAsia="Calibri" w:hAnsi="Calibri"/>
          <w:sz w:val="21"/>
          <w:szCs w:val="21"/>
        </w:rPr>
        <w:t xml:space="preserve">Başlığı “Mağaza: Autonics SSR ve Tristörlü Güç Kontrol | Ankara” oldu. Kategori metinleri ve kategori / seri sayfalarına bağlantılar eklendi.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1F22"/>
          <w:sz w:val="21"/>
          <w:szCs w:val="21"/>
        </w:rPr>
        <w:t xml:space="preserve">Site haritası: </w:t>
      </w:r>
      <w:r>
        <w:rPr>
          <w:rFonts w:ascii="Calibri" w:cs="Calibri" w:eastAsia="Calibri" w:hAnsi="Calibri"/>
          <w:sz w:val="21"/>
          <w:szCs w:val="21"/>
        </w:rPr>
        <w:t xml:space="preserve">246 adrese çıktı.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1F22"/>
          <w:sz w:val="21"/>
          <w:szCs w:val="21"/>
        </w:rPr>
        <w:t xml:space="preserve">Şehir sayfaları: </w:t>
      </w:r>
      <w:r>
        <w:rPr>
          <w:rFonts w:ascii="Calibri" w:cs="Calibri" w:eastAsia="Calibri" w:hAnsi="Calibri"/>
          <w:sz w:val="21"/>
          <w:szCs w:val="21"/>
        </w:rPr>
        <w:t xml:space="preserve">İstanbul, İzmir gibi şehirler için ayrı sayfa açılmadı. Google bu tür neredeyse aynı sayfaları tekrar içerik sayıp sıralamayı düşürüyor. Türkiye geneli görünürlüğü hizmet alanı verisi ve ürün sayfalarının kalitesi sağlıyor.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E1F22"/>
          <w:sz w:val="24"/>
          <w:szCs w:val="24"/>
        </w:rPr>
        <w:t xml:space="preserve">Mert’in yapması gerekenler (yerel sıralamada en etkili adımlar)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Ankara adresiyle bir Google İşletme Profili açmak ya da mevcut profili güncellemek.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Search Console’a site haritasını göndermek.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Adres ve telefonun her yerde (Google profili, firma rehberleri, faturalar) aynı yazılmasını sağlamak.</w:t>
      </w:r>
    </w:p>
    <w:p>
      <w:pPr>
        <w:spacing w:after="120" w:before="120"/>
      </w:pPr>
      <w:r>
        <w:rPr>
          <w:rFonts w:ascii="Calibri" w:cs="Calibri" w:eastAsia="Calibri" w:hAnsi="Calibri"/>
          <w:color w:val="1E1F22"/>
          <w:sz w:val="21"/>
          <w:szCs w:val="21"/>
        </w:rPr>
        <w:t xml:space="preserve">Adımların ayrıntısı </w:t>
      </w:r>
      <w:r>
        <w:rPr>
          <w:rFonts w:ascii="Consolas" w:cs="Consolas" w:eastAsia="Consolas" w:hAnsi="Consolas"/>
          <w:color w:val="1E1F22"/>
          <w:sz w:val="19"/>
          <w:szCs w:val="19"/>
        </w:rPr>
        <w:t xml:space="preserve">05_SEO_YEREL_ANKARA_TURKIYE_03-10-2026.md</w:t>
      </w:r>
      <w:r>
        <w:rPr>
          <w:rFonts w:ascii="Calibri" w:cs="Calibri" w:eastAsia="Calibri" w:hAnsi="Calibri"/>
          <w:color w:val="1E1F22"/>
          <w:sz w:val="21"/>
          <w:szCs w:val="21"/>
        </w:rPr>
        <w:t xml:space="preserve"> dosyasında. Çalışma saatleri, posta kodu ve konum bilgisi gerekiyor; Google profilindekiyle aynı olacak şekilde siteye eklenecek.</w:t>
      </w:r>
    </w:p>
    <w:p>
      <w:pPr>
        <w:pStyle w:val="Heading1"/>
        <w:pBdr>
          <w:bottom w:val="single" w:color="8E1B20" w:sz="8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8E1B20"/>
          <w:sz w:val="30"/>
          <w:szCs w:val="30"/>
        </w:rPr>
        <w:t xml:space="preserve">2. Güç Elektronikleri indeksi: 3 kategori, 15 seri, 1.509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600"/>
        <w:gridCol w:w="1226"/>
      </w:tblGrid>
      <w:tr>
        <w:trPr>
          <w:tblHeader/>
        </w:trPr>
        <w:tc>
          <w:tcPr>
            <w:tcW w:type="dxa" w:w="3200"/>
            <w:shd w:fill="8E1B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Kategori</w:t>
            </w:r>
          </w:p>
        </w:tc>
        <w:tc>
          <w:tcPr>
            <w:tcW w:type="dxa" w:w="4600"/>
            <w:shd w:fill="8E1B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Seriler</w:t>
            </w:r>
          </w:p>
        </w:tc>
        <w:tc>
          <w:tcPr>
            <w:tcW w:type="dxa" w:w="1226"/>
            <w:shd w:fill="8E1B2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1F22"/>
                <w:sz w:val="19"/>
                <w:szCs w:val="19"/>
              </w:rPr>
              <w:t xml:space="preserve">Anahtarlamalı güç kaynakları (SMPS)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1F22"/>
                <w:sz w:val="19"/>
                <w:szCs w:val="19"/>
              </w:rPr>
              <w:t xml:space="preserve">SPA (13), SPB-A DIN ray (15)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1F22"/>
                <w:sz w:val="19"/>
                <w:szCs w:val="19"/>
              </w:rPr>
              <w:t xml:space="preserve">28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1F22"/>
                <w:sz w:val="19"/>
                <w:szCs w:val="19"/>
              </w:rPr>
              <w:t xml:space="preserve">Güç kontrol cihazları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1F22"/>
                <w:sz w:val="19"/>
                <w:szCs w:val="19"/>
              </w:rPr>
              <w:t xml:space="preserve">DPU (840), SPR1 (192), SPR3 (192), SPRM (14), SPRS (19)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1F22"/>
                <w:sz w:val="19"/>
                <w:szCs w:val="19"/>
              </w:rPr>
              <w:t xml:space="preserve">1.257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1F22"/>
                <w:sz w:val="19"/>
                <w:szCs w:val="19"/>
              </w:rPr>
              <w:t xml:space="preserve">Solid state röleler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1F22"/>
                <w:sz w:val="19"/>
                <w:szCs w:val="19"/>
              </w:rPr>
              <w:t xml:space="preserve">8 seri, tamamı mağazada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1F22"/>
                <w:sz w:val="19"/>
                <w:szCs w:val="19"/>
              </w:rPr>
              <w:t xml:space="preserve">224</w:t>
            </w:r>
          </w:p>
        </w:tc>
      </w:tr>
      <w:tr>
        <w:tc>
          <w:tcPr>
            <w:tcW w:type="dxa" w:w="3200"/>
            <w:shd w:fill="F6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F22"/>
                <w:sz w:val="19"/>
                <w:szCs w:val="19"/>
              </w:rPr>
              <w:t xml:space="preserve">Toplam</w:t>
            </w:r>
          </w:p>
        </w:tc>
        <w:tc>
          <w:tcPr>
            <w:tcW w:type="dxa" w:w="4600"/>
            <w:shd w:fill="F6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F22"/>
                <w:sz w:val="19"/>
                <w:szCs w:val="19"/>
              </w:rPr>
              <w:t xml:space="preserve">15 seri</w:t>
            </w:r>
          </w:p>
        </w:tc>
        <w:tc>
          <w:tcPr>
            <w:tcW w:type="dxa" w:w="1226"/>
            <w:shd w:fill="F6F5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F22"/>
                <w:sz w:val="19"/>
                <w:szCs w:val="19"/>
              </w:rPr>
              <w:t xml:space="preserve">1.509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E1F22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1F22"/>
          <w:sz w:val="21"/>
          <w:szCs w:val="21"/>
        </w:rPr>
        <w:t xml:space="preserve">Doğrulama: </w:t>
      </w:r>
      <w:r>
        <w:rPr>
          <w:rFonts w:ascii="Calibri" w:cs="Calibri" w:eastAsia="Calibri" w:hAnsi="Calibri"/>
          <w:sz w:val="21"/>
          <w:szCs w:val="21"/>
        </w:rPr>
        <w:t xml:space="preserve">Model sayıları Autonics’in kendi listesiyle birebir aynı.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DPU için model kodlama şeması çıkarıldı (faz, gerilim, gövde, akım, seçenek). Bu şemayla oluşturulan 840 kod, Autonics’teki 840 modelle birebir eşleşti.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SPR1 ve SPR3’te kodlar 4 gerilim × 6 akım × 8 seçenek düzeninde.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1F22"/>
          <w:sz w:val="21"/>
          <w:szCs w:val="21"/>
        </w:rPr>
        <w:t xml:space="preserve">Anlamı çözülemeyen iki kod </w:t>
      </w:r>
      <w:r>
        <w:rPr>
          <w:rFonts w:ascii="Calibri" w:cs="Calibri" w:eastAsia="Calibri" w:hAnsi="Calibri"/>
          <w:sz w:val="21"/>
          <w:szCs w:val="21"/>
        </w:rPr>
        <w:t xml:space="preserve">(Autonics’in teknik tablosunda farkları görünmüyor; ikisi de [TEYİT] olarak işaretli):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DPU modellerinin sonundaki “-A” eki.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SPR modellerinin 3. seçenek harfi.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E1F22"/>
          <w:sz w:val="24"/>
          <w:szCs w:val="24"/>
        </w:rPr>
        <w:t xml:space="preserve">Seçim dosyası</w:t>
      </w:r>
    </w:p>
    <w:p>
      <w:pPr>
        <w:spacing w:after="120"/>
      </w:pPr>
      <w:r>
        <w:rPr>
          <w:rFonts w:ascii="Calibri" w:cs="Calibri" w:eastAsia="Calibri" w:hAnsi="Calibri"/>
          <w:color w:val="1E1F22"/>
          <w:sz w:val="21"/>
          <w:szCs w:val="21"/>
        </w:rPr>
        <w:t xml:space="preserve">Seçim için </w:t>
      </w:r>
      <w:r>
        <w:rPr>
          <w:rFonts w:ascii="Consolas" w:cs="Consolas" w:eastAsia="Consolas" w:hAnsi="Consolas"/>
          <w:color w:val="1E1F22"/>
          <w:sz w:val="19"/>
          <w:szCs w:val="19"/>
        </w:rPr>
        <w:t xml:space="preserve">04_AUTONICS_GUC_ELEKTRONIGI_MODELLER_03-10-2026.csv</w:t>
      </w:r>
      <w:r>
        <w:rPr>
          <w:rFonts w:ascii="Calibri" w:cs="Calibri" w:eastAsia="Calibri" w:hAnsi="Calibri"/>
          <w:color w:val="1E1F22"/>
          <w:sz w:val="21"/>
          <w:szCs w:val="21"/>
        </w:rPr>
        <w:t xml:space="preserve"> dosyası hazırlandı. 1.509 modelin hepsi listede.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1F22"/>
          <w:sz w:val="21"/>
          <w:szCs w:val="21"/>
        </w:rPr>
        <w:t xml:space="preserve">Satışa sunulsun (E/H): </w:t>
      </w:r>
      <w:r>
        <w:rPr>
          <w:rFonts w:ascii="Calibri" w:cs="Calibri" w:eastAsia="Calibri" w:hAnsi="Calibri"/>
          <w:sz w:val="21"/>
          <w:szCs w:val="21"/>
        </w:rPr>
        <w:t xml:space="preserve">Satılmak istenen modeller bu sütunda işaretlenir.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1F22"/>
          <w:sz w:val="21"/>
          <w:szCs w:val="21"/>
        </w:rPr>
        <w:t xml:space="preserve">Fiyat sütunları: </w:t>
      </w:r>
      <w:r>
        <w:rPr>
          <w:rFonts w:ascii="Calibri" w:cs="Calibri" w:eastAsia="Calibri" w:hAnsi="Calibri"/>
          <w:sz w:val="21"/>
          <w:szCs w:val="21"/>
        </w:rPr>
        <w:t xml:space="preserve">İstenirse fiyatlar da girilir.</w:t>
      </w:r>
    </w:p>
    <w:p>
      <w:pPr>
        <w:spacing w:after="120" w:before="120"/>
      </w:pPr>
      <w:r>
        <w:rPr>
          <w:rFonts w:ascii="Calibri" w:cs="Calibri" w:eastAsia="Calibri" w:hAnsi="Calibri"/>
          <w:color w:val="1E1F22"/>
          <w:sz w:val="21"/>
          <w:szCs w:val="21"/>
        </w:rPr>
        <w:t xml:space="preserve">Dosya gönderildiğinde seçilen serilerin teknik tabloları ve görselleri Autonics’ten okunup, SSR’de yapıldığı gibi mağazaya eklenecek. Seçimin kısaca yazılması da yeterli, örneğin “SPA ve SPB-A tamamı, DPU34 ve DPU32”.</w:t>
      </w:r>
    </w:p>
    <w:p>
      <w:pPr>
        <w:pStyle w:val="Heading1"/>
        <w:pBdr>
          <w:bottom w:val="single" w:color="8E1B20" w:sz="8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8E1B20"/>
          <w:sz w:val="30"/>
          <w:szCs w:val="30"/>
        </w:rPr>
        <w:t xml:space="preserve">İşlem yapılan dosyalar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1F22"/>
          <w:sz w:val="21"/>
          <w:szCs w:val="21"/>
        </w:rPr>
        <w:t xml:space="preserve">Yeni: </w:t>
      </w:r>
      <w:r>
        <w:rPr>
          <w:rFonts w:ascii="Consolas" w:cs="Consolas" w:eastAsia="Consolas" w:hAnsi="Consolas"/>
          <w:color w:val="1E1F22"/>
          <w:sz w:val="19"/>
          <w:szCs w:val="19"/>
        </w:rPr>
        <w:t xml:space="preserve">04_AUTONICS_GUC_ELEKTRONIGI_INDEKS_03-10-2026.md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E1F22"/>
          <w:sz w:val="19"/>
          <w:szCs w:val="19"/>
        </w:rPr>
        <w:t xml:space="preserve">04_AUTONICS_GUC_ELEKTRONIGI_MODELLER_03-10-2026.csv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E1F22"/>
          <w:sz w:val="19"/>
          <w:szCs w:val="19"/>
        </w:rPr>
        <w:t xml:space="preserve">05_SEO_YEREL_ANKARA_TURKIYE_03-10-2026.md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1F22"/>
          <w:sz w:val="21"/>
          <w:szCs w:val="21"/>
        </w:rPr>
        <w:t xml:space="preserve">Yeni: </w:t>
      </w:r>
      <w:r>
        <w:rPr>
          <w:rFonts w:ascii="Consolas" w:cs="Consolas" w:eastAsia="Consolas" w:hAnsi="Consolas"/>
          <w:color w:val="1E1F22"/>
          <w:sz w:val="19"/>
          <w:szCs w:val="19"/>
        </w:rPr>
        <w:t xml:space="preserve">src/lib/seo.ts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E1F22"/>
          <w:sz w:val="19"/>
          <w:szCs w:val="19"/>
        </w:rPr>
        <w:t xml:space="preserve">src/components/StoreCard.tsx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E1F22"/>
          <w:sz w:val="19"/>
          <w:szCs w:val="19"/>
        </w:rPr>
        <w:t xml:space="preserve">src/app/magaza/kategori/[kategori]/page.tsx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E1F22"/>
          <w:sz w:val="19"/>
          <w:szCs w:val="19"/>
        </w:rPr>
        <w:t xml:space="preserve">src/app/magaza/seri/[seri]/page.tsx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1F22"/>
          <w:sz w:val="21"/>
          <w:szCs w:val="21"/>
        </w:rPr>
        <w:t xml:space="preserve">Güncellenen: </w:t>
      </w:r>
      <w:r>
        <w:rPr>
          <w:rFonts w:ascii="Consolas" w:cs="Consolas" w:eastAsia="Consolas" w:hAnsi="Consolas"/>
          <w:color w:val="1E1F22"/>
          <w:sz w:val="19"/>
          <w:szCs w:val="19"/>
        </w:rPr>
        <w:t xml:space="preserve">src/app/layout.tsx, src/app/sitemap.ts, src/app/globals.css, src/app/magaza/page.tsx, src/app/magaza/[slug]/page.tsx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E1F22"/>
          <w:sz w:val="21"/>
          <w:szCs w:val="21"/>
        </w:rPr>
        <w:t xml:space="preserve">Güncellenen: </w:t>
      </w:r>
      <w:r>
        <w:rPr>
          <w:rFonts w:ascii="Consolas" w:cs="Consolas" w:eastAsia="Consolas" w:hAnsi="Consolas"/>
          <w:color w:val="1E1F22"/>
          <w:sz w:val="19"/>
          <w:szCs w:val="19"/>
        </w:rPr>
        <w:t xml:space="preserve">src/data/magaza.ts, src/data/ssr.ts, 00_INDEKS_02-10-2026.md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Mağaza SEO ve Autonics Güç Elektronikleri İndeksi</dc:title>
  <dc:creator>AOM</dc:creator>
  <cp:lastModifiedBy>Un-named</cp:lastModifiedBy>
  <cp:revision>1</cp:revision>
  <dcterms:created xsi:type="dcterms:W3CDTF">2026-10-03T14:42:21.446Z</dcterms:created>
  <dcterms:modified xsi:type="dcterms:W3CDTF">2026-10-03T14:42:21.454Z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