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Orrery Systems — Accelerator Roadmap (Internal)</w:t>
      </w:r>
    </w:p>
    <w:p>
      <w:r>
        <w:t>This document is internal and forward-looking. Dates are targets, not commitments.</w:t>
      </w:r>
    </w:p>
    <w:p>
      <w:pPr>
        <w:pStyle w:val="Heading2"/>
      </w:pPr>
      <w:r>
        <w:t>Current generation</w:t>
      </w:r>
    </w:p>
    <w:p>
      <w:r>
        <w:t>TQ-40 “Sable” is in volume production. No further silicon revisions are planned; remaining work is firmware only.</w:t>
      </w:r>
    </w:p>
    <w:p>
      <w:pPr>
        <w:pStyle w:val="Heading2"/>
      </w:pPr>
      <w:r>
        <w:t>Next generation</w:t>
      </w:r>
    </w:p>
    <w:p>
      <w:r>
        <w:t>TQ-60 enters customer sampling in Q3 FY27. It doubles memory bandwidth and moves to a chiplet interconnect. Pin compatibility with the current backplane is NOT maintained.</w:t>
      </w:r>
    </w:p>
    <w:p>
      <w:pPr>
        <w:pStyle w:val="Heading2"/>
      </w:pPr>
      <w:r>
        <w:t>Beyond</w:t>
      </w:r>
    </w:p>
    <w:p>
      <w:r>
        <w:t>A follow-on part is under architectural study. Nothing is committed and no date should be quoted to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