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D37EF" w14:textId="77777777" w:rsidR="0002439F" w:rsidRDefault="00000000">
      <w:pPr>
        <w:jc w:val="center"/>
      </w:pPr>
      <w:r>
        <w:rPr>
          <w:b/>
          <w:color w:val="17365D"/>
          <w:sz w:val="56"/>
        </w:rPr>
        <w:t>Ecommerce Product Analytics</w:t>
      </w:r>
    </w:p>
    <w:p w14:paraId="05377A95" w14:textId="77777777" w:rsidR="0002439F" w:rsidRDefault="00000000">
      <w:pPr>
        <w:jc w:val="center"/>
      </w:pPr>
      <w:r>
        <w:rPr>
          <w:i/>
          <w:sz w:val="26"/>
        </w:rPr>
        <w:t>Final project report | Executive evidence and recommendations</w:t>
      </w:r>
    </w:p>
    <w:p w14:paraId="3C6666CB" w14:textId="555766FF" w:rsidR="0002439F" w:rsidRDefault="00000000">
      <w:pPr>
        <w:pStyle w:val="Subtitle"/>
      </w:pPr>
      <w:r>
        <w:t xml:space="preserve">Scope: checked-in Snowflake SQL, Snowpark notebooks, Power BI project definition, and seven exported Power BI report screens. </w:t>
      </w:r>
    </w:p>
    <w:p w14:paraId="3F824A38" w14:textId="77777777" w:rsidR="0002439F" w:rsidRDefault="00000000">
      <w:pPr>
        <w:pStyle w:val="Heading2"/>
      </w:pPr>
      <w:r>
        <w:t>Decision statement</w:t>
      </w:r>
    </w:p>
    <w:p w14:paraId="04662355" w14:textId="77777777" w:rsidR="0002439F" w:rsidRDefault="00000000">
      <w:r>
        <w:t>The largest observable funnel loss is from page view to add to cart. Focus conversion diagnosis and testing on that entry point; in parallel, protect the concentrated value of Champions and K-means Cluster 0, and build a targeted reactivation program for Hibernating customers.</w:t>
      </w:r>
    </w:p>
    <w:p w14:paraId="5D663750" w14:textId="77777777" w:rsidR="0002439F" w:rsidRDefault="00000000">
      <w:pPr>
        <w:pStyle w:val="Heading1"/>
      </w:pPr>
      <w:r>
        <w:rPr>
          <w:color w:val="17365D"/>
        </w:rPr>
        <w:t>1. Executive summary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816"/>
        <w:gridCol w:w="5472"/>
      </w:tblGrid>
      <w:tr w:rsidR="0002439F" w14:paraId="6A6AD391" w14:textId="77777777" w:rsidTr="000243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6" w:type="dxa"/>
            <w:shd w:val="clear" w:color="auto" w:fill="17365D"/>
          </w:tcPr>
          <w:p w14:paraId="3564E42F" w14:textId="77777777" w:rsidR="0002439F" w:rsidRDefault="00000000">
            <w:r>
              <w:rPr>
                <w:color w:val="FFFFFF"/>
                <w:sz w:val="18"/>
              </w:rPr>
              <w:t>Verified finding</w:t>
            </w:r>
          </w:p>
        </w:tc>
        <w:tc>
          <w:tcPr>
            <w:tcW w:w="5472" w:type="dxa"/>
            <w:shd w:val="clear" w:color="auto" w:fill="17365D"/>
          </w:tcPr>
          <w:p w14:paraId="7A92BD08" w14:textId="77777777" w:rsidR="000243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Implication</w:t>
            </w:r>
          </w:p>
        </w:tc>
      </w:tr>
      <w:tr w:rsidR="0002439F" w14:paraId="17981AED" w14:textId="77777777" w:rsidTr="00024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6" w:type="dxa"/>
          </w:tcPr>
          <w:p w14:paraId="1F433EAA" w14:textId="77777777" w:rsidR="0002439F" w:rsidRDefault="00000000">
            <w:r>
              <w:rPr>
                <w:b w:val="0"/>
                <w:sz w:val="18"/>
              </w:rPr>
              <w:t>$4.84m revenue, 33,580 orders, 20,000 customers, and $144.0 average order value are displayed for 2020–2025.</w:t>
            </w:r>
          </w:p>
        </w:tc>
        <w:tc>
          <w:tcPr>
            <w:tcW w:w="5472" w:type="dxa"/>
          </w:tcPr>
          <w:p w14:paraId="71C7C331" w14:textId="77777777" w:rsidR="000243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The report provides a clear six-year commercial baseline.</w:t>
            </w:r>
          </w:p>
        </w:tc>
      </w:tr>
      <w:tr w:rsidR="0002439F" w14:paraId="7514622B" w14:textId="77777777" w:rsidTr="000243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6" w:type="dxa"/>
          </w:tcPr>
          <w:p w14:paraId="414DADC5" w14:textId="77777777" w:rsidR="0002439F" w:rsidRDefault="00000000">
            <w:r>
              <w:rPr>
                <w:b w:val="0"/>
                <w:sz w:val="18"/>
              </w:rPr>
              <w:t>Only 26.5% of 539,343 page-view events progress to add-to-cart; checkout-to-purchase is 74.8%.</w:t>
            </w:r>
          </w:p>
        </w:tc>
        <w:tc>
          <w:tcPr>
            <w:tcW w:w="5472" w:type="dxa"/>
          </w:tcPr>
          <w:p w14:paraId="5C1036D5" w14:textId="77777777" w:rsidR="000243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The largest visible conversion opportunity is upstream of checkout.</w:t>
            </w:r>
          </w:p>
        </w:tc>
      </w:tr>
      <w:tr w:rsidR="0002439F" w14:paraId="461288DB" w14:textId="77777777" w:rsidTr="00024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6" w:type="dxa"/>
          </w:tcPr>
          <w:p w14:paraId="2A06EED4" w14:textId="77777777" w:rsidR="0002439F" w:rsidRDefault="00000000">
            <w:r>
              <w:rPr>
                <w:b w:val="0"/>
                <w:sz w:val="18"/>
              </w:rPr>
              <w:t>Champions are 3,178 customers (15.9%) and contribute $1.73m (35.8%) of revenue.</w:t>
            </w:r>
          </w:p>
        </w:tc>
        <w:tc>
          <w:tcPr>
            <w:tcW w:w="5472" w:type="dxa"/>
          </w:tcPr>
          <w:p w14:paraId="6705015F" w14:textId="77777777" w:rsidR="000243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Protecting high-value customers is a material revenue-retention priority.</w:t>
            </w:r>
          </w:p>
        </w:tc>
      </w:tr>
      <w:tr w:rsidR="0002439F" w14:paraId="1C63B68E" w14:textId="77777777" w:rsidTr="000243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6" w:type="dxa"/>
          </w:tcPr>
          <w:p w14:paraId="50191040" w14:textId="77777777" w:rsidR="0002439F" w:rsidRDefault="00000000">
            <w:r>
              <w:rPr>
                <w:b w:val="0"/>
                <w:sz w:val="18"/>
              </w:rPr>
              <w:t>Hibernating customers are 5,133 (25.7%) but contribute $69.8k (1.4%) of revenue.</w:t>
            </w:r>
          </w:p>
        </w:tc>
        <w:tc>
          <w:tcPr>
            <w:tcW w:w="5472" w:type="dxa"/>
          </w:tcPr>
          <w:p w14:paraId="6C914728" w14:textId="77777777" w:rsidR="000243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 large low-value pool is suitable for disciplined, low-cost reactivation tests.</w:t>
            </w:r>
          </w:p>
        </w:tc>
      </w:tr>
      <w:tr w:rsidR="0002439F" w14:paraId="11A54242" w14:textId="77777777" w:rsidTr="00024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6" w:type="dxa"/>
          </w:tcPr>
          <w:p w14:paraId="385F2427" w14:textId="77777777" w:rsidR="0002439F" w:rsidRDefault="00000000">
            <w:r>
              <w:rPr>
                <w:b w:val="0"/>
                <w:sz w:val="18"/>
              </w:rPr>
              <w:t>The report displays 8.9% D0 retention, declining to 4.1% at D7 and 1.1% at D28.</w:t>
            </w:r>
          </w:p>
        </w:tc>
        <w:tc>
          <w:tcPr>
            <w:tcW w:w="5472" w:type="dxa"/>
          </w:tcPr>
          <w:p w14:paraId="34FAB958" w14:textId="77777777" w:rsidR="000243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Early lifecycle engagement is the retention priority.</w:t>
            </w:r>
          </w:p>
        </w:tc>
      </w:tr>
    </w:tbl>
    <w:p w14:paraId="0BEB96ED" w14:textId="77777777" w:rsidR="0002439F" w:rsidRDefault="0002439F"/>
    <w:p w14:paraId="6809B75F" w14:textId="77777777" w:rsidR="0002439F" w:rsidRDefault="00000000">
      <w:pPr>
        <w:pStyle w:val="Heading1"/>
      </w:pPr>
      <w:r>
        <w:rPr>
          <w:color w:val="17365D"/>
        </w:rPr>
        <w:t>2. Evidence base and metric interpretation</w:t>
      </w:r>
    </w:p>
    <w:p w14:paraId="57CC96F8" w14:textId="75AF982B" w:rsidR="0002439F" w:rsidRDefault="00000000">
      <w:r>
        <w:t>All quantitative findings in this report are transcribed from the checked-in Power BI report, with definitions supported by the accompanying SQL, notebook, and semantic-model assets. The screen filters are set to 1 January 2020–31 December 2025 unless noted. Revenue is displayed in USD.</w:t>
      </w:r>
    </w:p>
    <w:p w14:paraId="5EC891AB" w14:textId="77777777" w:rsidR="0002439F" w:rsidRDefault="00000000">
      <w:r>
        <w:t>The funnel screen displays event counts: 539,343 page views, 143,126 add-to-carts, 44,909 checkouts, and 33,580 purchases. The Python funnel notebook separately describes session-level progression. The two views should not be compared as identical measures because their denominators differ.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024"/>
        <w:gridCol w:w="6264"/>
      </w:tblGrid>
      <w:tr w:rsidR="0002439F" w14:paraId="563147D9" w14:textId="77777777" w:rsidTr="000243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  <w:shd w:val="clear" w:color="auto" w:fill="17365D"/>
          </w:tcPr>
          <w:p w14:paraId="4F892456" w14:textId="77777777" w:rsidR="0002439F" w:rsidRDefault="00000000">
            <w:r>
              <w:rPr>
                <w:color w:val="FFFFFF"/>
                <w:sz w:val="18"/>
              </w:rPr>
              <w:t>Asset</w:t>
            </w:r>
          </w:p>
        </w:tc>
        <w:tc>
          <w:tcPr>
            <w:tcW w:w="6264" w:type="dxa"/>
            <w:shd w:val="clear" w:color="auto" w:fill="17365D"/>
          </w:tcPr>
          <w:p w14:paraId="5B43E190" w14:textId="77777777" w:rsidR="000243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Verified role</w:t>
            </w:r>
          </w:p>
        </w:tc>
      </w:tr>
      <w:tr w:rsidR="0002439F" w14:paraId="432A8906" w14:textId="77777777" w:rsidTr="00024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B9E374F" w14:textId="77777777" w:rsidR="0002439F" w:rsidRDefault="00000000">
            <w:r>
              <w:rPr>
                <w:b w:val="0"/>
                <w:sz w:val="18"/>
              </w:rPr>
              <w:t>Snowflake SQL (7 scripts)</w:t>
            </w:r>
          </w:p>
        </w:tc>
        <w:tc>
          <w:tcPr>
            <w:tcW w:w="6264" w:type="dxa"/>
          </w:tcPr>
          <w:p w14:paraId="3FBCA59F" w14:textId="77777777" w:rsidR="000243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Builds event/session, customer value, product performance, and retention datasets.</w:t>
            </w:r>
          </w:p>
        </w:tc>
      </w:tr>
      <w:tr w:rsidR="0002439F" w14:paraId="2CFE6A36" w14:textId="77777777" w:rsidTr="000243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1D770DD" w14:textId="77777777" w:rsidR="0002439F" w:rsidRDefault="00000000">
            <w:r>
              <w:rPr>
                <w:b w:val="0"/>
                <w:sz w:val="18"/>
              </w:rPr>
              <w:t>Python notebooks (5)</w:t>
            </w:r>
          </w:p>
        </w:tc>
        <w:tc>
          <w:tcPr>
            <w:tcW w:w="6264" w:type="dxa"/>
          </w:tcPr>
          <w:p w14:paraId="5111A547" w14:textId="77777777" w:rsidR="000243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Contains funnel, cohort, RFM/K-means, product/review, and external A/B analyses.</w:t>
            </w:r>
          </w:p>
        </w:tc>
      </w:tr>
      <w:tr w:rsidR="0002439F" w14:paraId="028378CE" w14:textId="77777777" w:rsidTr="00024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73D7628" w14:textId="77777777" w:rsidR="0002439F" w:rsidRDefault="00000000">
            <w:r>
              <w:rPr>
                <w:b w:val="0"/>
                <w:sz w:val="18"/>
              </w:rPr>
              <w:t>Power BI report screens (7)</w:t>
            </w:r>
          </w:p>
        </w:tc>
        <w:tc>
          <w:tcPr>
            <w:tcW w:w="6264" w:type="dxa"/>
          </w:tcPr>
          <w:p w14:paraId="4BEA9C85" w14:textId="77777777" w:rsidR="000243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Provides the numerical business findings summarized below.</w:t>
            </w:r>
          </w:p>
        </w:tc>
      </w:tr>
      <w:tr w:rsidR="0002439F" w14:paraId="7EF143F1" w14:textId="77777777" w:rsidTr="000243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08BE2C30" w14:textId="77777777" w:rsidR="0002439F" w:rsidRDefault="00000000">
            <w:r>
              <w:rPr>
                <w:b w:val="0"/>
                <w:sz w:val="18"/>
              </w:rPr>
              <w:t>Local NLTK sentiment output</w:t>
            </w:r>
          </w:p>
        </w:tc>
        <w:tc>
          <w:tcPr>
            <w:tcW w:w="6264" w:type="dxa"/>
          </w:tcPr>
          <w:p w14:paraId="02B1ED82" w14:textId="13D13317" w:rsidR="0002439F" w:rsidRDefault="00E16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</w:t>
            </w:r>
            <w:r w:rsidR="00000000">
              <w:rPr>
                <w:sz w:val="18"/>
              </w:rPr>
              <w:t>ocal NLTK generated the sentiment values presented in the report screen.</w:t>
            </w:r>
          </w:p>
        </w:tc>
      </w:tr>
    </w:tbl>
    <w:p w14:paraId="08C8808D" w14:textId="77777777" w:rsidR="0002439F" w:rsidRDefault="0002439F"/>
    <w:p w14:paraId="0EF85873" w14:textId="77777777" w:rsidR="0002439F" w:rsidRDefault="00000000">
      <w:pPr>
        <w:pStyle w:val="Heading1"/>
      </w:pPr>
      <w:r>
        <w:rPr>
          <w:color w:val="17365D"/>
        </w:rPr>
        <w:lastRenderedPageBreak/>
        <w:t>3. Commercial findings and insights</w:t>
      </w:r>
    </w:p>
    <w:p w14:paraId="6865E23B" w14:textId="77777777" w:rsidR="0002439F" w:rsidRDefault="00000000">
      <w:pPr>
        <w:pStyle w:val="Heading2"/>
      </w:pPr>
      <w:r>
        <w:rPr>
          <w:color w:val="17365D"/>
        </w:rPr>
        <w:t>Funnel: improve product-to-cart progression first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024"/>
        <w:gridCol w:w="2520"/>
        <w:gridCol w:w="3744"/>
      </w:tblGrid>
      <w:tr w:rsidR="0002439F" w14:paraId="4018E41E" w14:textId="77777777" w:rsidTr="000243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  <w:shd w:val="clear" w:color="auto" w:fill="17365D"/>
          </w:tcPr>
          <w:p w14:paraId="27A4E2F4" w14:textId="77777777" w:rsidR="0002439F" w:rsidRDefault="00000000">
            <w:r>
              <w:rPr>
                <w:color w:val="FFFFFF"/>
                <w:sz w:val="18"/>
              </w:rPr>
              <w:t>Stage</w:t>
            </w:r>
          </w:p>
        </w:tc>
        <w:tc>
          <w:tcPr>
            <w:tcW w:w="2520" w:type="dxa"/>
            <w:shd w:val="clear" w:color="auto" w:fill="17365D"/>
          </w:tcPr>
          <w:p w14:paraId="7BA3653B" w14:textId="77777777" w:rsidR="000243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Displayed count</w:t>
            </w:r>
          </w:p>
        </w:tc>
        <w:tc>
          <w:tcPr>
            <w:tcW w:w="3744" w:type="dxa"/>
            <w:shd w:val="clear" w:color="auto" w:fill="17365D"/>
          </w:tcPr>
          <w:p w14:paraId="466F8A49" w14:textId="77777777" w:rsidR="000243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Progression from prior stage</w:t>
            </w:r>
          </w:p>
        </w:tc>
      </w:tr>
      <w:tr w:rsidR="0002439F" w14:paraId="7C29BF37" w14:textId="77777777" w:rsidTr="00024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5F42553" w14:textId="77777777" w:rsidR="0002439F" w:rsidRDefault="00000000">
            <w:r>
              <w:rPr>
                <w:b w:val="0"/>
                <w:sz w:val="18"/>
              </w:rPr>
              <w:t>Page view</w:t>
            </w:r>
          </w:p>
        </w:tc>
        <w:tc>
          <w:tcPr>
            <w:tcW w:w="2520" w:type="dxa"/>
          </w:tcPr>
          <w:p w14:paraId="52488D22" w14:textId="77777777" w:rsidR="000243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539,343</w:t>
            </w:r>
          </w:p>
        </w:tc>
        <w:tc>
          <w:tcPr>
            <w:tcW w:w="3744" w:type="dxa"/>
          </w:tcPr>
          <w:p w14:paraId="445B4318" w14:textId="77777777" w:rsidR="000243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02439F" w14:paraId="1D364C86" w14:textId="77777777" w:rsidTr="000243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8999677" w14:textId="77777777" w:rsidR="0002439F" w:rsidRDefault="00000000">
            <w:r>
              <w:rPr>
                <w:b w:val="0"/>
                <w:sz w:val="18"/>
              </w:rPr>
              <w:t>Add to cart</w:t>
            </w:r>
          </w:p>
        </w:tc>
        <w:tc>
          <w:tcPr>
            <w:tcW w:w="2520" w:type="dxa"/>
          </w:tcPr>
          <w:p w14:paraId="672E4C3D" w14:textId="77777777" w:rsidR="000243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143,126</w:t>
            </w:r>
          </w:p>
        </w:tc>
        <w:tc>
          <w:tcPr>
            <w:tcW w:w="3744" w:type="dxa"/>
          </w:tcPr>
          <w:p w14:paraId="762FA769" w14:textId="77777777" w:rsidR="000243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26.5%</w:t>
            </w:r>
          </w:p>
        </w:tc>
      </w:tr>
      <w:tr w:rsidR="0002439F" w14:paraId="0B529F77" w14:textId="77777777" w:rsidTr="00024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7228161" w14:textId="77777777" w:rsidR="0002439F" w:rsidRDefault="00000000">
            <w:r>
              <w:rPr>
                <w:b w:val="0"/>
                <w:sz w:val="18"/>
              </w:rPr>
              <w:t>Checkout</w:t>
            </w:r>
          </w:p>
        </w:tc>
        <w:tc>
          <w:tcPr>
            <w:tcW w:w="2520" w:type="dxa"/>
          </w:tcPr>
          <w:p w14:paraId="11CA31C5" w14:textId="77777777" w:rsidR="000243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44,909</w:t>
            </w:r>
          </w:p>
        </w:tc>
        <w:tc>
          <w:tcPr>
            <w:tcW w:w="3744" w:type="dxa"/>
          </w:tcPr>
          <w:p w14:paraId="14E409A4" w14:textId="77777777" w:rsidR="000243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31.4%</w:t>
            </w:r>
          </w:p>
        </w:tc>
      </w:tr>
      <w:tr w:rsidR="0002439F" w14:paraId="228C2CB3" w14:textId="77777777" w:rsidTr="000243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7BBC4542" w14:textId="77777777" w:rsidR="0002439F" w:rsidRDefault="00000000">
            <w:r>
              <w:rPr>
                <w:b w:val="0"/>
                <w:sz w:val="18"/>
              </w:rPr>
              <w:t>Purchase</w:t>
            </w:r>
          </w:p>
        </w:tc>
        <w:tc>
          <w:tcPr>
            <w:tcW w:w="2520" w:type="dxa"/>
          </w:tcPr>
          <w:p w14:paraId="00B9FB8D" w14:textId="77777777" w:rsidR="000243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33,580</w:t>
            </w:r>
          </w:p>
        </w:tc>
        <w:tc>
          <w:tcPr>
            <w:tcW w:w="3744" w:type="dxa"/>
          </w:tcPr>
          <w:p w14:paraId="79F40C63" w14:textId="77777777" w:rsidR="000243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74.8%</w:t>
            </w:r>
          </w:p>
        </w:tc>
      </w:tr>
    </w:tbl>
    <w:p w14:paraId="769BA245" w14:textId="77777777" w:rsidR="0002439F" w:rsidRDefault="0002439F"/>
    <w:p w14:paraId="4BAD29B3" w14:textId="77777777" w:rsidR="0002439F" w:rsidRDefault="00000000">
      <w:r>
        <w:t>Overall displayed conversion from page view to purchase is 6.22%. Device conversion is tightly clustered—mobile 6.23%, desktop 6.22%, tablet 6.14%—so the screen does not point to a device-specific priority. Paid is the highest displayed source at 6.36%, versus organic at 6.16%; the 0.20 percentage-point spread is modest. The largest actionable diagnostic is therefore the product-page-to-cart journey, not a broad device/channel redesign.</w:t>
      </w:r>
    </w:p>
    <w:p w14:paraId="4D25A2F3" w14:textId="77777777" w:rsidR="0002439F" w:rsidRDefault="00000000">
      <w:pPr>
        <w:pStyle w:val="Heading2"/>
      </w:pPr>
      <w:r>
        <w:rPr>
          <w:color w:val="17365D"/>
        </w:rPr>
        <w:t>Customer value: a small set of segments carries disproportionate value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1728"/>
        <w:gridCol w:w="1128"/>
        <w:gridCol w:w="1584"/>
        <w:gridCol w:w="1123"/>
        <w:gridCol w:w="3744"/>
      </w:tblGrid>
      <w:tr w:rsidR="0002439F" w14:paraId="09D3CA25" w14:textId="77777777" w:rsidTr="000243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17365D"/>
          </w:tcPr>
          <w:p w14:paraId="37E925D6" w14:textId="77777777" w:rsidR="0002439F" w:rsidRDefault="00000000">
            <w:r>
              <w:rPr>
                <w:color w:val="FFFFFF"/>
                <w:sz w:val="18"/>
              </w:rPr>
              <w:t>RFM segment</w:t>
            </w:r>
          </w:p>
        </w:tc>
        <w:tc>
          <w:tcPr>
            <w:tcW w:w="1123" w:type="dxa"/>
            <w:shd w:val="clear" w:color="auto" w:fill="17365D"/>
          </w:tcPr>
          <w:p w14:paraId="065D4941" w14:textId="77777777" w:rsidR="000243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Customers</w:t>
            </w:r>
          </w:p>
        </w:tc>
        <w:tc>
          <w:tcPr>
            <w:tcW w:w="1584" w:type="dxa"/>
            <w:shd w:val="clear" w:color="auto" w:fill="17365D"/>
          </w:tcPr>
          <w:p w14:paraId="43CFF32B" w14:textId="77777777" w:rsidR="000243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Revenue</w:t>
            </w:r>
          </w:p>
        </w:tc>
        <w:tc>
          <w:tcPr>
            <w:tcW w:w="1123" w:type="dxa"/>
            <w:shd w:val="clear" w:color="auto" w:fill="17365D"/>
          </w:tcPr>
          <w:p w14:paraId="1BB08713" w14:textId="77777777" w:rsidR="000243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Avg. orders</w:t>
            </w:r>
          </w:p>
        </w:tc>
        <w:tc>
          <w:tcPr>
            <w:tcW w:w="3744" w:type="dxa"/>
            <w:shd w:val="clear" w:color="auto" w:fill="17365D"/>
          </w:tcPr>
          <w:p w14:paraId="5E3A9E32" w14:textId="77777777" w:rsidR="000243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Interpretation</w:t>
            </w:r>
          </w:p>
        </w:tc>
      </w:tr>
      <w:tr w:rsidR="0002439F" w14:paraId="6E14D325" w14:textId="77777777" w:rsidTr="00024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CFEA916" w14:textId="77777777" w:rsidR="0002439F" w:rsidRDefault="00000000">
            <w:r>
              <w:rPr>
                <w:b w:val="0"/>
                <w:sz w:val="18"/>
              </w:rPr>
              <w:t>Champions</w:t>
            </w:r>
          </w:p>
        </w:tc>
        <w:tc>
          <w:tcPr>
            <w:tcW w:w="1123" w:type="dxa"/>
          </w:tcPr>
          <w:p w14:paraId="70A97AF2" w14:textId="77777777" w:rsidR="000243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3,178</w:t>
            </w:r>
          </w:p>
        </w:tc>
        <w:tc>
          <w:tcPr>
            <w:tcW w:w="1584" w:type="dxa"/>
          </w:tcPr>
          <w:p w14:paraId="30DE7A78" w14:textId="77777777" w:rsidR="000243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$1,731,102</w:t>
            </w:r>
          </w:p>
        </w:tc>
        <w:tc>
          <w:tcPr>
            <w:tcW w:w="1123" w:type="dxa"/>
          </w:tcPr>
          <w:p w14:paraId="620D1E71" w14:textId="77777777" w:rsidR="000243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3.34</w:t>
            </w:r>
          </w:p>
        </w:tc>
        <w:tc>
          <w:tcPr>
            <w:tcW w:w="3744" w:type="dxa"/>
          </w:tcPr>
          <w:p w14:paraId="2C55AE84" w14:textId="77777777" w:rsidR="000243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15.9% of customers and 35.8% of revenue.</w:t>
            </w:r>
          </w:p>
        </w:tc>
      </w:tr>
      <w:tr w:rsidR="0002439F" w14:paraId="6CA1817E" w14:textId="77777777" w:rsidTr="000243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FF52070" w14:textId="77777777" w:rsidR="0002439F" w:rsidRDefault="00000000">
            <w:r>
              <w:rPr>
                <w:b w:val="0"/>
                <w:sz w:val="18"/>
              </w:rPr>
              <w:t>Can’t Lose Them</w:t>
            </w:r>
          </w:p>
        </w:tc>
        <w:tc>
          <w:tcPr>
            <w:tcW w:w="1123" w:type="dxa"/>
          </w:tcPr>
          <w:p w14:paraId="69EA350A" w14:textId="77777777" w:rsidR="000243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1,283</w:t>
            </w:r>
          </w:p>
        </w:tc>
        <w:tc>
          <w:tcPr>
            <w:tcW w:w="1584" w:type="dxa"/>
          </w:tcPr>
          <w:p w14:paraId="59019DFE" w14:textId="77777777" w:rsidR="000243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$628,354</w:t>
            </w:r>
          </w:p>
        </w:tc>
        <w:tc>
          <w:tcPr>
            <w:tcW w:w="1123" w:type="dxa"/>
          </w:tcPr>
          <w:p w14:paraId="2E16FF8D" w14:textId="77777777" w:rsidR="000243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2.71</w:t>
            </w:r>
          </w:p>
        </w:tc>
        <w:tc>
          <w:tcPr>
            <w:tcW w:w="3744" w:type="dxa"/>
          </w:tcPr>
          <w:p w14:paraId="43569BBD" w14:textId="77777777" w:rsidR="000243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High-value reactivation/protection opportunity.</w:t>
            </w:r>
          </w:p>
        </w:tc>
      </w:tr>
      <w:tr w:rsidR="0002439F" w14:paraId="05BD867F" w14:textId="77777777" w:rsidTr="00024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AF1A4D4" w14:textId="77777777" w:rsidR="0002439F" w:rsidRDefault="00000000">
            <w:r>
              <w:rPr>
                <w:b w:val="0"/>
                <w:sz w:val="18"/>
              </w:rPr>
              <w:t>Loyal Customers</w:t>
            </w:r>
          </w:p>
        </w:tc>
        <w:tc>
          <w:tcPr>
            <w:tcW w:w="1123" w:type="dxa"/>
          </w:tcPr>
          <w:p w14:paraId="734D1BC6" w14:textId="77777777" w:rsidR="000243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2,834</w:t>
            </w:r>
          </w:p>
        </w:tc>
        <w:tc>
          <w:tcPr>
            <w:tcW w:w="1584" w:type="dxa"/>
          </w:tcPr>
          <w:p w14:paraId="702F750F" w14:textId="77777777" w:rsidR="000243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$885,756</w:t>
            </w:r>
          </w:p>
        </w:tc>
        <w:tc>
          <w:tcPr>
            <w:tcW w:w="1123" w:type="dxa"/>
          </w:tcPr>
          <w:p w14:paraId="67AAC3A6" w14:textId="77777777" w:rsidR="000243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2.00</w:t>
            </w:r>
          </w:p>
        </w:tc>
        <w:tc>
          <w:tcPr>
            <w:tcW w:w="3744" w:type="dxa"/>
          </w:tcPr>
          <w:p w14:paraId="1D20933F" w14:textId="77777777" w:rsidR="000243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Strong base for retention and referral initiatives.</w:t>
            </w:r>
          </w:p>
        </w:tc>
      </w:tr>
      <w:tr w:rsidR="0002439F" w14:paraId="7FA32A07" w14:textId="77777777" w:rsidTr="000243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2DD68DD" w14:textId="77777777" w:rsidR="0002439F" w:rsidRDefault="00000000">
            <w:r>
              <w:rPr>
                <w:b w:val="0"/>
                <w:sz w:val="18"/>
              </w:rPr>
              <w:t>At Risk</w:t>
            </w:r>
          </w:p>
        </w:tc>
        <w:tc>
          <w:tcPr>
            <w:tcW w:w="1123" w:type="dxa"/>
          </w:tcPr>
          <w:p w14:paraId="130CBF01" w14:textId="77777777" w:rsidR="000243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2,149</w:t>
            </w:r>
          </w:p>
        </w:tc>
        <w:tc>
          <w:tcPr>
            <w:tcW w:w="1584" w:type="dxa"/>
          </w:tcPr>
          <w:p w14:paraId="6B083F3C" w14:textId="77777777" w:rsidR="000243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$448,226</w:t>
            </w:r>
          </w:p>
        </w:tc>
        <w:tc>
          <w:tcPr>
            <w:tcW w:w="1123" w:type="dxa"/>
          </w:tcPr>
          <w:p w14:paraId="366ED1A4" w14:textId="77777777" w:rsidR="000243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1.70</w:t>
            </w:r>
          </w:p>
        </w:tc>
        <w:tc>
          <w:tcPr>
            <w:tcW w:w="3744" w:type="dxa"/>
          </w:tcPr>
          <w:p w14:paraId="546D4955" w14:textId="77777777" w:rsidR="000243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Prioritize targeted recovery tests.</w:t>
            </w:r>
          </w:p>
        </w:tc>
      </w:tr>
      <w:tr w:rsidR="0002439F" w14:paraId="0AFA7217" w14:textId="77777777" w:rsidTr="00024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1903AD1" w14:textId="77777777" w:rsidR="0002439F" w:rsidRDefault="00000000">
            <w:r>
              <w:rPr>
                <w:b w:val="0"/>
                <w:sz w:val="18"/>
              </w:rPr>
              <w:t>Hibernating</w:t>
            </w:r>
          </w:p>
        </w:tc>
        <w:tc>
          <w:tcPr>
            <w:tcW w:w="1123" w:type="dxa"/>
          </w:tcPr>
          <w:p w14:paraId="052D298A" w14:textId="77777777" w:rsidR="000243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5,133</w:t>
            </w:r>
          </w:p>
        </w:tc>
        <w:tc>
          <w:tcPr>
            <w:tcW w:w="1584" w:type="dxa"/>
          </w:tcPr>
          <w:p w14:paraId="309F3CCB" w14:textId="77777777" w:rsidR="000243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$69,761</w:t>
            </w:r>
          </w:p>
        </w:tc>
        <w:tc>
          <w:tcPr>
            <w:tcW w:w="1123" w:type="dxa"/>
          </w:tcPr>
          <w:p w14:paraId="67EC1149" w14:textId="77777777" w:rsidR="000243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0.27</w:t>
            </w:r>
          </w:p>
        </w:tc>
        <w:tc>
          <w:tcPr>
            <w:tcW w:w="3744" w:type="dxa"/>
          </w:tcPr>
          <w:p w14:paraId="665FF9AE" w14:textId="77777777" w:rsidR="000243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25.7% of customers but 1.4% of revenue.</w:t>
            </w:r>
          </w:p>
        </w:tc>
      </w:tr>
      <w:tr w:rsidR="0002439F" w14:paraId="5E0ACC91" w14:textId="77777777" w:rsidTr="000243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4F782B8" w14:textId="77777777" w:rsidR="0002439F" w:rsidRDefault="00000000">
            <w:r>
              <w:rPr>
                <w:b w:val="0"/>
                <w:sz w:val="18"/>
              </w:rPr>
              <w:t>Lost</w:t>
            </w:r>
          </w:p>
        </w:tc>
        <w:tc>
          <w:tcPr>
            <w:tcW w:w="1123" w:type="dxa"/>
          </w:tcPr>
          <w:p w14:paraId="665EA6AE" w14:textId="77777777" w:rsidR="000243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702</w:t>
            </w:r>
          </w:p>
        </w:tc>
        <w:tc>
          <w:tcPr>
            <w:tcW w:w="1584" w:type="dxa"/>
          </w:tcPr>
          <w:p w14:paraId="582D593F" w14:textId="77777777" w:rsidR="000243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$176,934</w:t>
            </w:r>
          </w:p>
        </w:tc>
        <w:tc>
          <w:tcPr>
            <w:tcW w:w="1123" w:type="dxa"/>
          </w:tcPr>
          <w:p w14:paraId="5EC59F46" w14:textId="77777777" w:rsidR="000243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1.00</w:t>
            </w:r>
          </w:p>
        </w:tc>
        <w:tc>
          <w:tcPr>
            <w:tcW w:w="3744" w:type="dxa"/>
          </w:tcPr>
          <w:p w14:paraId="5E7C3504" w14:textId="77777777" w:rsidR="000243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Use low-cost win-back only.</w:t>
            </w:r>
          </w:p>
        </w:tc>
      </w:tr>
    </w:tbl>
    <w:p w14:paraId="5F56C904" w14:textId="77777777" w:rsidR="0002439F" w:rsidRDefault="0002439F"/>
    <w:p w14:paraId="1F6A7F56" w14:textId="77777777" w:rsidR="0002439F" w:rsidRDefault="00000000">
      <w:r>
        <w:t>The K-means view corroborates concentration: Cluster 0 contains 5,812 customers (29.1%) and $3.06m revenue (63.4%) with 3.16 average orders. Cluster 1 contains 3,906 customers (19.5%) but only $3,930 revenue and 0.04 average orders. The cluster labels are algorithm outputs, so the RFM segment names are more suitable for customer-facing activation rules.</w:t>
      </w:r>
    </w:p>
    <w:p w14:paraId="53A3DAC3" w14:textId="77777777" w:rsidR="0002439F" w:rsidRDefault="00000000">
      <w:pPr>
        <w:pStyle w:val="Heading2"/>
      </w:pPr>
      <w:r>
        <w:rPr>
          <w:color w:val="17365D"/>
        </w:rPr>
        <w:t>Retention: intervene in the first week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168"/>
        <w:gridCol w:w="3168"/>
      </w:tblGrid>
      <w:tr w:rsidR="0002439F" w14:paraId="4295C59D" w14:textId="77777777" w:rsidTr="000243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shd w:val="clear" w:color="auto" w:fill="17365D"/>
          </w:tcPr>
          <w:p w14:paraId="500C407B" w14:textId="77777777" w:rsidR="0002439F" w:rsidRDefault="00000000">
            <w:r>
              <w:rPr>
                <w:color w:val="FFFFFF"/>
                <w:sz w:val="18"/>
              </w:rPr>
              <w:t>Days since signup</w:t>
            </w:r>
          </w:p>
        </w:tc>
        <w:tc>
          <w:tcPr>
            <w:tcW w:w="3168" w:type="dxa"/>
            <w:shd w:val="clear" w:color="auto" w:fill="17365D"/>
          </w:tcPr>
          <w:p w14:paraId="0112A021" w14:textId="77777777" w:rsidR="000243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Displayed retention</w:t>
            </w:r>
          </w:p>
        </w:tc>
      </w:tr>
      <w:tr w:rsidR="0002439F" w14:paraId="02C47B8C" w14:textId="77777777" w:rsidTr="00024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6CAF7A6" w14:textId="77777777" w:rsidR="0002439F" w:rsidRDefault="00000000">
            <w:r>
              <w:rPr>
                <w:b w:val="0"/>
                <w:sz w:val="18"/>
              </w:rPr>
              <w:t>0</w:t>
            </w:r>
          </w:p>
        </w:tc>
        <w:tc>
          <w:tcPr>
            <w:tcW w:w="3168" w:type="dxa"/>
          </w:tcPr>
          <w:p w14:paraId="338B518E" w14:textId="77777777" w:rsidR="000243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8.9%</w:t>
            </w:r>
          </w:p>
        </w:tc>
      </w:tr>
      <w:tr w:rsidR="0002439F" w14:paraId="34014FA3" w14:textId="77777777" w:rsidTr="000243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46C45DDC" w14:textId="77777777" w:rsidR="0002439F" w:rsidRDefault="00000000">
            <w:r>
              <w:rPr>
                <w:b w:val="0"/>
                <w:sz w:val="18"/>
              </w:rPr>
              <w:t>7</w:t>
            </w:r>
          </w:p>
        </w:tc>
        <w:tc>
          <w:tcPr>
            <w:tcW w:w="3168" w:type="dxa"/>
          </w:tcPr>
          <w:p w14:paraId="76519D02" w14:textId="77777777" w:rsidR="000243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4.1%</w:t>
            </w:r>
          </w:p>
        </w:tc>
      </w:tr>
      <w:tr w:rsidR="0002439F" w14:paraId="39BBF21C" w14:textId="77777777" w:rsidTr="00024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3158E813" w14:textId="77777777" w:rsidR="0002439F" w:rsidRDefault="00000000">
            <w:r>
              <w:rPr>
                <w:b w:val="0"/>
                <w:sz w:val="18"/>
              </w:rPr>
              <w:t>14</w:t>
            </w:r>
          </w:p>
        </w:tc>
        <w:tc>
          <w:tcPr>
            <w:tcW w:w="3168" w:type="dxa"/>
          </w:tcPr>
          <w:p w14:paraId="3ACBDBCC" w14:textId="77777777" w:rsidR="000243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2.0%</w:t>
            </w:r>
          </w:p>
        </w:tc>
      </w:tr>
      <w:tr w:rsidR="0002439F" w14:paraId="08030280" w14:textId="77777777" w:rsidTr="000243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A43DD35" w14:textId="77777777" w:rsidR="0002439F" w:rsidRDefault="00000000">
            <w:r>
              <w:rPr>
                <w:b w:val="0"/>
                <w:sz w:val="18"/>
              </w:rPr>
              <w:t>21</w:t>
            </w:r>
          </w:p>
        </w:tc>
        <w:tc>
          <w:tcPr>
            <w:tcW w:w="3168" w:type="dxa"/>
          </w:tcPr>
          <w:p w14:paraId="188A2D92" w14:textId="77777777" w:rsidR="000243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1.1%</w:t>
            </w:r>
          </w:p>
        </w:tc>
      </w:tr>
      <w:tr w:rsidR="0002439F" w14:paraId="570EB807" w14:textId="77777777" w:rsidTr="00024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6838E69" w14:textId="77777777" w:rsidR="0002439F" w:rsidRDefault="00000000">
            <w:r>
              <w:rPr>
                <w:b w:val="0"/>
                <w:sz w:val="18"/>
              </w:rPr>
              <w:t>28</w:t>
            </w:r>
          </w:p>
        </w:tc>
        <w:tc>
          <w:tcPr>
            <w:tcW w:w="3168" w:type="dxa"/>
          </w:tcPr>
          <w:p w14:paraId="2FFB4EE7" w14:textId="77777777" w:rsidR="000243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1.1%</w:t>
            </w:r>
          </w:p>
        </w:tc>
      </w:tr>
    </w:tbl>
    <w:p w14:paraId="6AB6C2A7" w14:textId="77777777" w:rsidR="0002439F" w:rsidRDefault="0002439F"/>
    <w:p w14:paraId="00565FE8" w14:textId="77777777" w:rsidR="0002439F" w:rsidRDefault="00000000">
      <w:r>
        <w:t>Retention more than halves between day 0 and day 7, and reaches 1.1% by day 21. This pattern supports a first-week onboarding and second-purchase intervention rather than relying on late-stage win-back alone. Cohort-level values vary substantially on the screen; they should be interpreted with cohort size and maturity before changing investment by cohort.</w:t>
      </w:r>
    </w:p>
    <w:p w14:paraId="0CA9F597" w14:textId="77777777" w:rsidR="0002439F" w:rsidRDefault="00000000">
      <w:pPr>
        <w:pStyle w:val="Heading2"/>
      </w:pPr>
      <w:r>
        <w:rPr>
          <w:color w:val="17365D"/>
        </w:rPr>
        <w:t>Product and category portfolio: scale the top three while protecting margin</w:t>
      </w:r>
    </w:p>
    <w:p w14:paraId="6F3F5F12" w14:textId="77777777" w:rsidR="0002439F" w:rsidRDefault="00000000">
      <w:r>
        <w:t>The product page displays 1,197 products, $4,835,608 net product revenue, 77,106 units sold, and $42.3 average margin. Home &amp; Kitchen ($840,737), Sports ($832,350), and Fashion ($824,739) account for $2.50m, or 51.6%, of displayed revenue. Electronics ($692,866), Beauty ($692,312), Toys ($569,153), and Books ($383,451) make up the balance. The screen’s rating-versus-conversion plot is descriptive; it does not establish a causal relationship.</w:t>
      </w:r>
    </w:p>
    <w:p w14:paraId="6D2F2D1D" w14:textId="77777777" w:rsidR="0002439F" w:rsidRDefault="00000000">
      <w:pPr>
        <w:pStyle w:val="Heading2"/>
      </w:pPr>
      <w:r>
        <w:rPr>
          <w:color w:val="17365D"/>
        </w:rPr>
        <w:lastRenderedPageBreak/>
        <w:t>Customer feedback: favorable aggregate signal, with focused issue mining needed</w:t>
      </w:r>
    </w:p>
    <w:p w14:paraId="45E29EB5" w14:textId="77777777" w:rsidR="0002439F" w:rsidRDefault="00000000">
      <w:r>
        <w:t>The reviews screen displays 10,780 records, a 3.9/5 average rating, 89.1% positive sentiment, and 10.9% negative sentiment. Ratings of 4 and 5 total 7,620 reviews (70.7%). Positive TF-IDF terms include “overall,” “okay,” “value,” “money,” and “recommend”; negative terms include “quality,” “great,” “disappointed,” and “buy.” Use the negative terms as inputs to qualitative review coding by product/category, not as root-cause proof by themselves.</w:t>
      </w:r>
    </w:p>
    <w:p w14:paraId="21EF5242" w14:textId="77777777" w:rsidR="0002439F" w:rsidRDefault="00000000">
      <w:pPr>
        <w:pStyle w:val="Heading2"/>
      </w:pPr>
      <w:r>
        <w:rPr>
          <w:color w:val="17365D"/>
        </w:rPr>
        <w:t>A/B analysis: methodological evidence only</w:t>
      </w:r>
    </w:p>
    <w:p w14:paraId="753372E8" w14:textId="77777777" w:rsidR="0002439F" w:rsidRDefault="00000000">
      <w:r>
        <w:t>The A/B page explicitly labels its dataset as unrelated to the other report pages. It shows 12,053 treatment users and 7,947 PSA users; conversion is 6.66% versus 3.23%, a 3.43 percentage-point absolute lift and 106.01% relative lift (z = -10.59; p &lt; 0.001). The page reports no statistically significant variation in treatment effectiveness by ad exposure. This is a valid demonstration of the testing approach, not evidence to deploy the same intervention in this ecommerce dataset.</w:t>
      </w:r>
    </w:p>
    <w:p w14:paraId="51CC32AE" w14:textId="77777777" w:rsidR="0002439F" w:rsidRDefault="00000000">
      <w:pPr>
        <w:pStyle w:val="Heading1"/>
      </w:pPr>
      <w:r>
        <w:rPr>
          <w:color w:val="17365D"/>
        </w:rPr>
        <w:t>4. Recommended action plan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1800"/>
        <w:gridCol w:w="5472"/>
        <w:gridCol w:w="1944"/>
      </w:tblGrid>
      <w:tr w:rsidR="0002439F" w14:paraId="32B592CD" w14:textId="77777777" w:rsidTr="000243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shd w:val="clear" w:color="auto" w:fill="17365D"/>
          </w:tcPr>
          <w:p w14:paraId="21C1158E" w14:textId="77777777" w:rsidR="0002439F" w:rsidRDefault="00000000">
            <w:r>
              <w:rPr>
                <w:color w:val="FFFFFF"/>
                <w:sz w:val="18"/>
              </w:rPr>
              <w:t>Horizon</w:t>
            </w:r>
          </w:p>
        </w:tc>
        <w:tc>
          <w:tcPr>
            <w:tcW w:w="5472" w:type="dxa"/>
            <w:shd w:val="clear" w:color="auto" w:fill="17365D"/>
          </w:tcPr>
          <w:p w14:paraId="0764A1FC" w14:textId="77777777" w:rsidR="000243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Actions</w:t>
            </w:r>
          </w:p>
        </w:tc>
        <w:tc>
          <w:tcPr>
            <w:tcW w:w="1944" w:type="dxa"/>
            <w:shd w:val="clear" w:color="auto" w:fill="17365D"/>
          </w:tcPr>
          <w:p w14:paraId="3AA6F945" w14:textId="77777777" w:rsidR="000243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Success measure</w:t>
            </w:r>
          </w:p>
        </w:tc>
      </w:tr>
      <w:tr w:rsidR="0002439F" w14:paraId="733051C0" w14:textId="77777777" w:rsidTr="00024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ACD87EE" w14:textId="77777777" w:rsidR="0002439F" w:rsidRDefault="00000000">
            <w:r>
              <w:rPr>
                <w:b w:val="0"/>
                <w:sz w:val="18"/>
              </w:rPr>
              <w:t>0–30 days</w:t>
            </w:r>
          </w:p>
        </w:tc>
        <w:tc>
          <w:tcPr>
            <w:tcW w:w="5472" w:type="dxa"/>
          </w:tcPr>
          <w:p w14:paraId="39E49DE9" w14:textId="77777777" w:rsidR="000243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Audit high-traffic product pages and cart-entry events; test product information, value framing, stock/price clarity, and cart calls-to-action.</w:t>
            </w:r>
          </w:p>
        </w:tc>
        <w:tc>
          <w:tcPr>
            <w:tcW w:w="1944" w:type="dxa"/>
          </w:tcPr>
          <w:p w14:paraId="128AD594" w14:textId="77777777" w:rsidR="000243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Increase page-view-to-cart progression from its 26.5% baseline without reducing checkout completion.</w:t>
            </w:r>
          </w:p>
        </w:tc>
      </w:tr>
      <w:tr w:rsidR="0002439F" w14:paraId="1675E497" w14:textId="77777777" w:rsidTr="000243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FBD1B6D" w14:textId="77777777" w:rsidR="0002439F" w:rsidRDefault="00000000">
            <w:r>
              <w:rPr>
                <w:b w:val="0"/>
                <w:sz w:val="18"/>
              </w:rPr>
              <w:t>0–30 days</w:t>
            </w:r>
          </w:p>
        </w:tc>
        <w:tc>
          <w:tcPr>
            <w:tcW w:w="5472" w:type="dxa"/>
          </w:tcPr>
          <w:p w14:paraId="34D1F4FF" w14:textId="77777777" w:rsidR="000243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Create RFM journeys: benefits/early access for Champions, loyalty/referral for Loyal customers, and controlled win-back for Can’t Lose Them and At Risk.</w:t>
            </w:r>
          </w:p>
        </w:tc>
        <w:tc>
          <w:tcPr>
            <w:tcW w:w="1944" w:type="dxa"/>
          </w:tcPr>
          <w:p w14:paraId="75B0B0A7" w14:textId="77777777" w:rsidR="000243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Incremental repeat orders and revenue by segment versus holdout.</w:t>
            </w:r>
          </w:p>
        </w:tc>
      </w:tr>
      <w:tr w:rsidR="0002439F" w14:paraId="52559E00" w14:textId="77777777" w:rsidTr="00024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3CF3A50" w14:textId="77777777" w:rsidR="0002439F" w:rsidRDefault="00000000">
            <w:r>
              <w:rPr>
                <w:b w:val="0"/>
                <w:sz w:val="18"/>
              </w:rPr>
              <w:t>30–60 days</w:t>
            </w:r>
          </w:p>
        </w:tc>
        <w:tc>
          <w:tcPr>
            <w:tcW w:w="5472" w:type="dxa"/>
          </w:tcPr>
          <w:p w14:paraId="7FFCF782" w14:textId="77777777" w:rsidR="000243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Deploy first-week lifecycle messages and a second-purchase trigger; tailor content from product/review insight.</w:t>
            </w:r>
          </w:p>
        </w:tc>
        <w:tc>
          <w:tcPr>
            <w:tcW w:w="1944" w:type="dxa"/>
          </w:tcPr>
          <w:p w14:paraId="26B03E60" w14:textId="77777777" w:rsidR="000243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Improve D7 and D28 retention against the displayed 4.1% and 1.1% baselines.</w:t>
            </w:r>
          </w:p>
        </w:tc>
      </w:tr>
      <w:tr w:rsidR="0002439F" w14:paraId="0433AC4C" w14:textId="77777777" w:rsidTr="000243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99B3786" w14:textId="77777777" w:rsidR="0002439F" w:rsidRDefault="00000000">
            <w:r>
              <w:rPr>
                <w:b w:val="0"/>
                <w:sz w:val="18"/>
              </w:rPr>
              <w:t>30–90 days</w:t>
            </w:r>
          </w:p>
        </w:tc>
        <w:tc>
          <w:tcPr>
            <w:tcW w:w="5472" w:type="dxa"/>
          </w:tcPr>
          <w:p w14:paraId="12ADDB23" w14:textId="77777777" w:rsidR="000243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Prioritize assortment, merchandising, and availability reviews for the top-three revenue categories; investigate negative-review themes at SKU/category level.</w:t>
            </w:r>
          </w:p>
        </w:tc>
        <w:tc>
          <w:tcPr>
            <w:tcW w:w="1944" w:type="dxa"/>
          </w:tcPr>
          <w:p w14:paraId="32BC7DD2" w14:textId="77777777" w:rsidR="000243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Revenue, margin, conversion, and sentiment guardrails by category.</w:t>
            </w:r>
          </w:p>
        </w:tc>
      </w:tr>
      <w:tr w:rsidR="0002439F" w14:paraId="4B13C894" w14:textId="77777777" w:rsidTr="00024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D658C44" w14:textId="77777777" w:rsidR="0002439F" w:rsidRDefault="00000000">
            <w:r>
              <w:rPr>
                <w:b w:val="0"/>
                <w:sz w:val="18"/>
              </w:rPr>
              <w:t>Ongoing</w:t>
            </w:r>
          </w:p>
        </w:tc>
        <w:tc>
          <w:tcPr>
            <w:tcW w:w="5472" w:type="dxa"/>
          </w:tcPr>
          <w:p w14:paraId="4BC2F06F" w14:textId="77777777" w:rsidR="000243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Use store-specific, pre-registered A/B tests with a primary metric, sample-size plan, and guardrails.</w:t>
            </w:r>
          </w:p>
        </w:tc>
        <w:tc>
          <w:tcPr>
            <w:tcW w:w="1944" w:type="dxa"/>
          </w:tcPr>
          <w:p w14:paraId="108EA31A" w14:textId="77777777" w:rsidR="000243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Adopt only changes with statistically and commercially credible incremental impact.</w:t>
            </w:r>
          </w:p>
        </w:tc>
      </w:tr>
    </w:tbl>
    <w:p w14:paraId="5102AF14" w14:textId="77777777" w:rsidR="0002439F" w:rsidRDefault="0002439F"/>
    <w:p w14:paraId="6F037FE2" w14:textId="77777777" w:rsidR="0002439F" w:rsidRDefault="00000000">
      <w:pPr>
        <w:pStyle w:val="Heading1"/>
      </w:pPr>
      <w:r>
        <w:rPr>
          <w:color w:val="17365D"/>
        </w:rPr>
        <w:t>5. Appendix: model and scope</w:t>
      </w:r>
    </w:p>
    <w:p w14:paraId="744DF756" w14:textId="658CCC3F" w:rsidR="0002439F" w:rsidRDefault="00000000">
      <w:r>
        <w:t xml:space="preserve">Raw event, session, customer, order, order-item, product, and review objects feed the Snowflake analytics layer. The model includes FCT_EVENTS, FCT_SESSIONS, FCT_USER_ACTIVITY, DIM_USER, FCT_CUSTOMER_VALUE, PRODUCT_PERFORMANCE, USER_RETENTION, FCT_CUSTOMER_SEGMENTS, and review-sentiment data. Customer IDs and gross-USD/revenue field choices follow the project’s stated metric design. </w:t>
      </w:r>
      <w:r w:rsidR="00E167D6">
        <w:t>A</w:t>
      </w:r>
      <w:r>
        <w:t xml:space="preserve"> local NLTK workflow supplies the sentiment results used in the dashboard; that local code is not included in the checked-in notebook.</w:t>
      </w:r>
    </w:p>
    <w:p w14:paraId="6E16905B" w14:textId="77777777" w:rsidR="0002439F" w:rsidRDefault="00000000">
      <w:r>
        <w:t>This report does not infer causes from descriptive results. Recommendations are testable hypotheses anchored to observed funnel, retention, segment, product, and feedback patterns.</w:t>
      </w:r>
    </w:p>
    <w:sectPr w:rsidR="0002439F" w:rsidSect="00034616">
      <w:footerReference w:type="default" r:id="rId8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AF99E" w14:textId="77777777" w:rsidR="000E09D7" w:rsidRDefault="000E09D7">
      <w:pPr>
        <w:spacing w:after="0" w:line="240" w:lineRule="auto"/>
      </w:pPr>
      <w:r>
        <w:separator/>
      </w:r>
    </w:p>
  </w:endnote>
  <w:endnote w:type="continuationSeparator" w:id="0">
    <w:p w14:paraId="0A0A661C" w14:textId="77777777" w:rsidR="000E09D7" w:rsidRDefault="000E0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83FCA" w14:textId="77777777" w:rsidR="0002439F" w:rsidRDefault="00000000">
    <w:pPr>
      <w:pStyle w:val="Footer"/>
      <w:jc w:val="center"/>
    </w:pPr>
    <w:r>
      <w:t>Ecommerce Product Analytics | Final project report | Dashboard evidence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444BD" w14:textId="77777777" w:rsidR="000E09D7" w:rsidRDefault="000E09D7">
      <w:pPr>
        <w:spacing w:after="0" w:line="240" w:lineRule="auto"/>
      </w:pPr>
      <w:r>
        <w:separator/>
      </w:r>
    </w:p>
  </w:footnote>
  <w:footnote w:type="continuationSeparator" w:id="0">
    <w:p w14:paraId="75980D3B" w14:textId="77777777" w:rsidR="000E09D7" w:rsidRDefault="000E0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2966102">
    <w:abstractNumId w:val="8"/>
  </w:num>
  <w:num w:numId="2" w16cid:durableId="439377694">
    <w:abstractNumId w:val="6"/>
  </w:num>
  <w:num w:numId="3" w16cid:durableId="303701241">
    <w:abstractNumId w:val="5"/>
  </w:num>
  <w:num w:numId="4" w16cid:durableId="1770661906">
    <w:abstractNumId w:val="4"/>
  </w:num>
  <w:num w:numId="5" w16cid:durableId="1151019208">
    <w:abstractNumId w:val="7"/>
  </w:num>
  <w:num w:numId="6" w16cid:durableId="1771505913">
    <w:abstractNumId w:val="3"/>
  </w:num>
  <w:num w:numId="7" w16cid:durableId="1745370098">
    <w:abstractNumId w:val="2"/>
  </w:num>
  <w:num w:numId="8" w16cid:durableId="777484382">
    <w:abstractNumId w:val="1"/>
  </w:num>
  <w:num w:numId="9" w16cid:durableId="727384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39F"/>
    <w:rsid w:val="00034616"/>
    <w:rsid w:val="0006063C"/>
    <w:rsid w:val="000E09D7"/>
    <w:rsid w:val="0015074B"/>
    <w:rsid w:val="0029639D"/>
    <w:rsid w:val="00326F90"/>
    <w:rsid w:val="0075057F"/>
    <w:rsid w:val="009A2260"/>
    <w:rsid w:val="00AA1D8D"/>
    <w:rsid w:val="00B47730"/>
    <w:rsid w:val="00CB0664"/>
    <w:rsid w:val="00E167D6"/>
    <w:rsid w:val="00F518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114518"/>
  <w14:defaultImageDpi w14:val="300"/>
  <w15:docId w15:val="{5C8AFC54-AFA5-46BD-ADCB-E90204C56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1188</Words>
  <Characters>6778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Meruyert Alimaganbetova (CON)</cp:lastModifiedBy>
  <cp:revision>4</cp:revision>
  <dcterms:created xsi:type="dcterms:W3CDTF">2013-12-23T23:15:00Z</dcterms:created>
  <dcterms:modified xsi:type="dcterms:W3CDTF">2026-09-08T20:31:00Z</dcterms:modified>
  <cp:category/>
</cp:coreProperties>
</file>