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Arial" w:hAnsi="Arial"/>
          <w:b/>
          <w:color w:val="0F172A"/>
          <w:sz w:val="44"/>
        </w:rPr>
        <w:t>SYSTEM EVALUATION &amp; TESTING PLAN</w:t>
        <w:br/>
      </w:r>
      <w:r>
        <w:rPr>
          <w:rFonts w:ascii="Arial" w:hAnsi="Arial"/>
          <w:color w:val="0284C7"/>
          <w:sz w:val="24"/>
        </w:rPr>
        <w:t>Quality Assurance, Benchmarking &amp; Metrics for Hybrid RAG Engine</w:t>
      </w:r>
    </w:p>
    <w:p>
      <w:pPr>
        <w:spacing w:after="360"/>
      </w:pPr>
      <w:r>
        <w:rPr>
          <w:rFonts w:ascii="Arial" w:hAnsi="Arial"/>
          <w:i/>
          <w:color w:val="64748B"/>
          <w:sz w:val="19"/>
        </w:rPr>
        <w:t>Document Version: 1.0.0  |  Evaluation Framework: Ragas / TruLens  |  Status: Approved</w:t>
      </w:r>
    </w:p>
    <w:p>
      <w:pPr>
        <w:keepNext/>
        <w:spacing w:before="360" w:after="120"/>
      </w:pPr>
      <w:r>
        <w:rPr>
          <w:rFonts w:ascii="Arial" w:hAnsi="Arial"/>
          <w:b/>
          <w:color w:val="0F172A"/>
          <w:sz w:val="32"/>
        </w:rPr>
        <w:t>1. Evaluation Strategy &amp; Objectives</w:t>
      </w:r>
    </w:p>
    <w:p>
      <w:r>
        <w:t>To guarantee enterprise-grade performance, the Hybrid RAG engine undergo strict evaluation across two core dimensions: Retrieval Performance (assessing context quality) and Generation Quality (assessing answer fidelity and safety). Testing will be automated using synthetic and human-annotated test sets.</w:t>
      </w:r>
    </w:p>
    <w:p>
      <w:pPr>
        <w:keepNext/>
        <w:spacing w:before="360" w:after="120"/>
      </w:pPr>
      <w:r>
        <w:rPr>
          <w:rFonts w:ascii="Arial" w:hAnsi="Arial"/>
          <w:b/>
          <w:color w:val="0F172A"/>
          <w:sz w:val="32"/>
        </w:rPr>
        <w:t>2. Key Evaluation Metrics Target Matrix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1872"/>
            <w:shd w:fill="0F172A"/>
          </w:tcPr>
          <w:p>
            <w:r>
              <w:rPr>
                <w:rFonts w:ascii="Arial" w:hAnsi="Arial"/>
                <w:b/>
                <w:color w:val="FFFFFF"/>
                <w:sz w:val="19"/>
              </w:rPr>
              <w:t>Category</w:t>
            </w:r>
          </w:p>
        </w:tc>
        <w:tc>
          <w:tcPr>
            <w:tcW w:type="dxa" w:w="2160"/>
            <w:shd w:fill="0F172A"/>
          </w:tcPr>
          <w:p>
            <w:r>
              <w:rPr>
                <w:rFonts w:ascii="Arial" w:hAnsi="Arial"/>
                <w:b/>
                <w:color w:val="FFFFFF"/>
                <w:sz w:val="19"/>
              </w:rPr>
              <w:t>Metric Name</w:t>
            </w:r>
          </w:p>
        </w:tc>
        <w:tc>
          <w:tcPr>
            <w:tcW w:type="dxa" w:w="1584"/>
            <w:shd w:fill="0F172A"/>
          </w:tcPr>
          <w:p>
            <w:r>
              <w:rPr>
                <w:rFonts w:ascii="Arial" w:hAnsi="Arial"/>
                <w:b/>
                <w:color w:val="FFFFFF"/>
                <w:sz w:val="19"/>
              </w:rPr>
              <w:t>Target Score</w:t>
            </w:r>
          </w:p>
        </w:tc>
        <w:tc>
          <w:tcPr>
            <w:tcW w:type="dxa" w:w="3744"/>
            <w:shd w:fill="0F172A"/>
          </w:tcPr>
          <w:p>
            <w:r>
              <w:rPr>
                <w:rFonts w:ascii="Arial" w:hAnsi="Arial"/>
                <w:b/>
                <w:color w:val="FFFFFF"/>
                <w:sz w:val="19"/>
              </w:rPr>
              <w:t>Measurement Description</w:t>
            </w:r>
          </w:p>
        </w:tc>
      </w:tr>
      <w:tr>
        <w:tc>
          <w:tcPr>
            <w:tcW w:type="dxa" w:w="1872"/>
            <w:shd w:fill="FFFFFF"/>
          </w:tcPr>
          <w:p>
            <w:r>
              <w:rPr>
                <w:rFonts w:ascii="Arial" w:hAnsi="Arial"/>
                <w:color w:val="334155"/>
                <w:sz w:val="18"/>
              </w:rPr>
              <w:t>Retrieval Metrics</w:t>
            </w:r>
          </w:p>
        </w:tc>
        <w:tc>
          <w:tcPr>
            <w:tcW w:type="dxa" w:w="2160"/>
            <w:shd w:fill="FFFFFF"/>
          </w:tcPr>
          <w:p>
            <w:r>
              <w:rPr>
                <w:rFonts w:ascii="Arial" w:hAnsi="Arial"/>
                <w:color w:val="334155"/>
                <w:sz w:val="18"/>
              </w:rPr>
              <w:t>Context Recall@5</w:t>
            </w:r>
          </w:p>
        </w:tc>
        <w:tc>
          <w:tcPr>
            <w:tcW w:type="dxa" w:w="1584"/>
            <w:shd w:fill="FFFFFF"/>
          </w:tcPr>
          <w:p>
            <w:r>
              <w:rPr>
                <w:rFonts w:ascii="Arial" w:hAnsi="Arial"/>
                <w:color w:val="334155"/>
                <w:sz w:val="18"/>
              </w:rPr>
              <w:t>&gt;= 95.0%</w:t>
            </w:r>
          </w:p>
        </w:tc>
        <w:tc>
          <w:tcPr>
            <w:tcW w:type="dxa" w:w="3744"/>
            <w:shd w:fill="FFFFFF"/>
          </w:tcPr>
          <w:p>
            <w:r>
              <w:rPr>
                <w:rFonts w:ascii="Arial" w:hAnsi="Arial"/>
                <w:color w:val="334155"/>
                <w:sz w:val="18"/>
              </w:rPr>
              <w:t>Percentage of ground-truth relevant chunks present in retrieved Top-5.</w:t>
            </w:r>
          </w:p>
        </w:tc>
      </w:tr>
      <w:tr>
        <w:tc>
          <w:tcPr>
            <w:tcW w:type="dxa" w:w="1872"/>
            <w:shd w:fill="F8FAFC"/>
          </w:tcPr>
          <w:p>
            <w:r>
              <w:rPr>
                <w:rFonts w:ascii="Arial" w:hAnsi="Arial"/>
                <w:color w:val="334155"/>
                <w:sz w:val="18"/>
              </w:rPr>
              <w:t>Retrieval Metrics</w:t>
            </w:r>
          </w:p>
        </w:tc>
        <w:tc>
          <w:tcPr>
            <w:tcW w:type="dxa" w:w="2160"/>
            <w:shd w:fill="F8FAFC"/>
          </w:tcPr>
          <w:p>
            <w:r>
              <w:rPr>
                <w:rFonts w:ascii="Arial" w:hAnsi="Arial"/>
                <w:color w:val="334155"/>
                <w:sz w:val="18"/>
              </w:rPr>
              <w:t>Context Precision@5</w:t>
            </w:r>
          </w:p>
        </w:tc>
        <w:tc>
          <w:tcPr>
            <w:tcW w:type="dxa" w:w="1584"/>
            <w:shd w:fill="F8FAFC"/>
          </w:tcPr>
          <w:p>
            <w:r>
              <w:rPr>
                <w:rFonts w:ascii="Arial" w:hAnsi="Arial"/>
                <w:color w:val="334155"/>
                <w:sz w:val="18"/>
              </w:rPr>
              <w:t>&gt;= 92.0%</w:t>
            </w:r>
          </w:p>
        </w:tc>
        <w:tc>
          <w:tcPr>
            <w:tcW w:type="dxa" w:w="3744"/>
            <w:shd w:fill="F8FAFC"/>
          </w:tcPr>
          <w:p>
            <w:r>
              <w:rPr>
                <w:rFonts w:ascii="Arial" w:hAnsi="Arial"/>
                <w:color w:val="334155"/>
                <w:sz w:val="18"/>
              </w:rPr>
              <w:t>Signal-to-noise ratio of retrieved chunks; penalizes non-relevant Top-5 chunks.</w:t>
            </w:r>
          </w:p>
        </w:tc>
      </w:tr>
      <w:tr>
        <w:tc>
          <w:tcPr>
            <w:tcW w:type="dxa" w:w="1872"/>
            <w:shd w:fill="FFFFFF"/>
          </w:tcPr>
          <w:p>
            <w:r>
              <w:rPr>
                <w:rFonts w:ascii="Arial" w:hAnsi="Arial"/>
                <w:color w:val="334155"/>
                <w:sz w:val="18"/>
              </w:rPr>
              <w:t>Retrieval Metrics</w:t>
            </w:r>
          </w:p>
        </w:tc>
        <w:tc>
          <w:tcPr>
            <w:tcW w:type="dxa" w:w="2160"/>
            <w:shd w:fill="FFFFFF"/>
          </w:tcPr>
          <w:p>
            <w:r>
              <w:rPr>
                <w:rFonts w:ascii="Arial" w:hAnsi="Arial"/>
                <w:color w:val="334155"/>
                <w:sz w:val="18"/>
              </w:rPr>
              <w:t>MRR (Mean Reciprocal Rank)</w:t>
            </w:r>
          </w:p>
        </w:tc>
        <w:tc>
          <w:tcPr>
            <w:tcW w:type="dxa" w:w="1584"/>
            <w:shd w:fill="FFFFFF"/>
          </w:tcPr>
          <w:p>
            <w:r>
              <w:rPr>
                <w:rFonts w:ascii="Arial" w:hAnsi="Arial"/>
                <w:color w:val="334155"/>
                <w:sz w:val="18"/>
              </w:rPr>
              <w:t>&gt;= 0.88</w:t>
            </w:r>
          </w:p>
        </w:tc>
        <w:tc>
          <w:tcPr>
            <w:tcW w:type="dxa" w:w="3744"/>
            <w:shd w:fill="FFFFFF"/>
          </w:tcPr>
          <w:p>
            <w:r>
              <w:rPr>
                <w:rFonts w:ascii="Arial" w:hAnsi="Arial"/>
                <w:color w:val="334155"/>
                <w:sz w:val="18"/>
              </w:rPr>
              <w:t>Evaluates how high up the first truly relevant document appears in ranking.</w:t>
            </w:r>
          </w:p>
        </w:tc>
      </w:tr>
      <w:tr>
        <w:tc>
          <w:tcPr>
            <w:tcW w:type="dxa" w:w="1872"/>
            <w:shd w:fill="F8FAFC"/>
          </w:tcPr>
          <w:p>
            <w:r>
              <w:rPr>
                <w:rFonts w:ascii="Arial" w:hAnsi="Arial"/>
                <w:color w:val="334155"/>
                <w:sz w:val="18"/>
              </w:rPr>
              <w:t>Generation Metrics</w:t>
            </w:r>
          </w:p>
        </w:tc>
        <w:tc>
          <w:tcPr>
            <w:tcW w:type="dxa" w:w="2160"/>
            <w:shd w:fill="F8FAFC"/>
          </w:tcPr>
          <w:p>
            <w:r>
              <w:rPr>
                <w:rFonts w:ascii="Arial" w:hAnsi="Arial"/>
                <w:color w:val="334155"/>
                <w:sz w:val="18"/>
              </w:rPr>
              <w:t>Faithfulness (Ragas)</w:t>
            </w:r>
          </w:p>
        </w:tc>
        <w:tc>
          <w:tcPr>
            <w:tcW w:type="dxa" w:w="1584"/>
            <w:shd w:fill="F8FAFC"/>
          </w:tcPr>
          <w:p>
            <w:r>
              <w:rPr>
                <w:rFonts w:ascii="Arial" w:hAnsi="Arial"/>
                <w:color w:val="334155"/>
                <w:sz w:val="18"/>
              </w:rPr>
              <w:t>&gt;= 98.0%</w:t>
            </w:r>
          </w:p>
        </w:tc>
        <w:tc>
          <w:tcPr>
            <w:tcW w:type="dxa" w:w="3744"/>
            <w:shd w:fill="F8FAFC"/>
          </w:tcPr>
          <w:p>
            <w:r>
              <w:rPr>
                <w:rFonts w:ascii="Arial" w:hAnsi="Arial"/>
                <w:color w:val="334155"/>
                <w:sz w:val="18"/>
              </w:rPr>
              <w:t>Measures if LLM response is strictly grounded in retrieved context (Zero Hallucination).</w:t>
            </w:r>
          </w:p>
        </w:tc>
      </w:tr>
      <w:tr>
        <w:tc>
          <w:tcPr>
            <w:tcW w:type="dxa" w:w="1872"/>
            <w:shd w:fill="FFFFFF"/>
          </w:tcPr>
          <w:p>
            <w:r>
              <w:rPr>
                <w:rFonts w:ascii="Arial" w:hAnsi="Arial"/>
                <w:color w:val="334155"/>
                <w:sz w:val="18"/>
              </w:rPr>
              <w:t>Generation Metrics</w:t>
            </w:r>
          </w:p>
        </w:tc>
        <w:tc>
          <w:tcPr>
            <w:tcW w:type="dxa" w:w="2160"/>
            <w:shd w:fill="FFFFFF"/>
          </w:tcPr>
          <w:p>
            <w:r>
              <w:rPr>
                <w:rFonts w:ascii="Arial" w:hAnsi="Arial"/>
                <w:color w:val="334155"/>
                <w:sz w:val="18"/>
              </w:rPr>
              <w:t>Answer Relevance</w:t>
            </w:r>
          </w:p>
        </w:tc>
        <w:tc>
          <w:tcPr>
            <w:tcW w:type="dxa" w:w="1584"/>
            <w:shd w:fill="FFFFFF"/>
          </w:tcPr>
          <w:p>
            <w:r>
              <w:rPr>
                <w:rFonts w:ascii="Arial" w:hAnsi="Arial"/>
                <w:color w:val="334155"/>
                <w:sz w:val="18"/>
              </w:rPr>
              <w:t>&gt;= 94.0%</w:t>
            </w:r>
          </w:p>
        </w:tc>
        <w:tc>
          <w:tcPr>
            <w:tcW w:type="dxa" w:w="3744"/>
            <w:shd w:fill="FFFFFF"/>
          </w:tcPr>
          <w:p>
            <w:r>
              <w:rPr>
                <w:rFonts w:ascii="Arial" w:hAnsi="Arial"/>
                <w:color w:val="334155"/>
                <w:sz w:val="18"/>
              </w:rPr>
              <w:t>Measures how directly the generated answer addresses the user query intent.</w:t>
            </w:r>
          </w:p>
        </w:tc>
      </w:tr>
    </w:tbl>
    <w:p>
      <w:pPr>
        <w:keepNext/>
        <w:spacing w:before="360" w:after="120"/>
      </w:pPr>
      <w:r>
        <w:rPr>
          <w:rFonts w:ascii="Arial" w:hAnsi="Arial"/>
          <w:b/>
          <w:color w:val="0F172A"/>
          <w:sz w:val="32"/>
        </w:rPr>
        <w:t>3. Test Dataset Construction</w:t>
      </w:r>
    </w:p>
    <w:p>
      <w:r>
        <w:t>Testing will utilize a balanced benchmark dataset of 500 query pairs categorised as follows:</w:t>
      </w:r>
    </w:p>
    <w:p>
      <w:r>
        <w:rPr>
          <w:b/>
        </w:rPr>
        <w:t xml:space="preserve">1. Exact Part / SKU Queries (150 test cases): </w:t>
      </w:r>
      <w:r>
        <w:t>e.g. 'What is the torque spec for screw S-4012-SCRW?' Tests Sparse search accuracy.</w:t>
        <w:br/>
      </w:r>
      <w:r>
        <w:rPr>
          <w:b/>
        </w:rPr>
        <w:t xml:space="preserve">2. Natural Language / Symptom Queries (150 test cases): </w:t>
      </w:r>
      <w:r>
        <w:t>e.g. 'How do I stop my chair from creaking when leaning back?' Tests Dense vector search.</w:t>
        <w:br/>
      </w:r>
      <w:r>
        <w:rPr>
          <w:b/>
        </w:rPr>
        <w:t xml:space="preserve">3. Mixed Hybrid Queries (150 test cases): </w:t>
      </w:r>
      <w:r>
        <w:t>e.g. 'Squeaking noise on part P-9913-BASE after 6 months'. Tests RRF fusion performance.</w:t>
        <w:br/>
      </w:r>
      <w:r>
        <w:rPr>
          <w:b/>
        </w:rPr>
        <w:t xml:space="preserve">4. Adversarial / Out-of-Scope Queries (50 test cases): </w:t>
      </w:r>
      <w:r>
        <w:t>e.g. 'How do I cook a turkey?' Tests system refusal and guardrails.</w:t>
      </w:r>
    </w:p>
    <w:p>
      <w:pPr>
        <w:keepNext/>
        <w:spacing w:before="360" w:after="120"/>
      </w:pPr>
      <w:r>
        <w:rPr>
          <w:rFonts w:ascii="Arial" w:hAnsi="Arial"/>
          <w:b/>
          <w:color w:val="0F172A"/>
          <w:sz w:val="32"/>
        </w:rPr>
        <w:t>4. Automated Evaluation Pipeline Script</w:t>
      </w:r>
    </w:p>
    <w:p>
      <w:r>
        <w:t>Automated CI/CD performance gates will run via Python using Ragas metrics:</w:t>
      </w:r>
    </w:p>
    <w:p>
      <w:pPr>
        <w:ind w:left="288"/>
      </w:pPr>
      <w:r>
        <w:rPr>
          <w:rFonts w:ascii="Courier New" w:hAnsi="Courier New"/>
          <w:sz w:val="17"/>
        </w:rPr>
        <w:t>from ragas import evaluate</w:t>
        <w:br/>
        <w:t>from ragas.metrics import faithfulness, answer_relevance, context_recall, context_precision</w:t>
        <w:br/>
        <w:t>from datasets import Dataset</w:t>
        <w:br/>
        <w:br/>
        <w:t># Load ground-truth test set</w:t>
        <w:br/>
        <w:t>eval_dataset = Dataset.from_json("test_suite_500.json")</w:t>
        <w:br/>
        <w:br/>
        <w:t># Execute Ragas Evaluation</w:t>
        <w:br/>
        <w:t>results = evaluate(</w:t>
        <w:br/>
        <w:t xml:space="preserve">    dataset=eval_dataset,</w:t>
        <w:br/>
        <w:t xml:space="preserve">    metrics=[</w:t>
        <w:br/>
        <w:t xml:space="preserve">        context_recall,</w:t>
        <w:br/>
        <w:t xml:space="preserve">        context_precision,</w:t>
        <w:br/>
        <w:t xml:space="preserve">        faithfulness,</w:t>
        <w:br/>
        <w:t xml:space="preserve">        answer_relevance</w:t>
        <w:br/>
        <w:t xml:space="preserve">    ]</w:t>
        <w:br/>
        <w:t>)</w:t>
        <w:br/>
        <w:br/>
        <w:t>print("Ragas Metric Evaluation Scores:")</w:t>
        <w:br/>
        <w:t>print(results)</w:t>
        <w:br/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