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44"/>
        </w:rPr>
        <w:t>SYSTEM IMPLEMENTATION PLAN</w:t>
        <w:br/>
      </w:r>
      <w:r>
        <w:rPr>
          <w:rFonts w:ascii="Arial" w:hAnsi="Arial"/>
          <w:color w:val="0284C7"/>
          <w:sz w:val="24"/>
        </w:rPr>
        <w:t>Hybrid RAG Engine for E-Commerce Multi-Catalog Support Desk</w:t>
      </w:r>
    </w:p>
    <w:p>
      <w:pPr>
        <w:spacing w:after="360"/>
      </w:pPr>
      <w:r>
        <w:rPr>
          <w:rFonts w:ascii="Arial" w:hAnsi="Arial"/>
          <w:i/>
          <w:color w:val="64748B"/>
          <w:sz w:val="19"/>
        </w:rPr>
        <w:t>Document Version: 1.0.0  |  Target Timeline: 8 Weeks  |  Status: Draft / Execution Ready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1. Executive Implementation Overview</w:t>
      </w:r>
    </w:p>
    <w:p>
      <w:r>
        <w:t>This document details the step-by-step engineering roadmap for building, integrating, and deploying the Hybrid Retrieval-Augmented Generation (RAG) system for technical e-commerce support desk catalogs. The rollout is structured across four 2-week sprints designed to minimize deployment risk and ensure performance thresholds are validated before production release.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2. Implementation Phase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1872"/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Sprint Timeline</w:t>
            </w:r>
          </w:p>
        </w:tc>
        <w:tc>
          <w:tcPr>
            <w:tcW w:type="dxa" w:w="3168"/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Core Engineering Focus</w:t>
            </w:r>
          </w:p>
        </w:tc>
        <w:tc>
          <w:tcPr>
            <w:tcW w:type="dxa" w:w="2880"/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Key Deliverables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Phase 1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Weeks 1 - 2</w:t>
            </w:r>
          </w:p>
        </w:tc>
        <w:tc>
          <w:tcPr>
            <w:tcW w:type="dxa" w:w="3168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Data Ingestion &amp; Hybrid Indexing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Qdrant Hybrid collection setup, custom regex SKU tokenizer, BM25 + Dense vector pipelines.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Phase 2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Weeks 3 - 4</w:t>
            </w:r>
          </w:p>
        </w:tc>
        <w:tc>
          <w:tcPr>
            <w:tcW w:type="dxa" w:w="3168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Retrieval &amp; Fusion Engine</w:t>
            </w:r>
          </w:p>
        </w:tc>
        <w:tc>
          <w:tcPr>
            <w:tcW w:type="dxa" w:w="2880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Async dual-branch query execution, Reciprocal Rank Fusion (RRF) module, metadata filtering layer.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Phase 3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Weeks 5 - 6</w:t>
            </w:r>
          </w:p>
        </w:tc>
        <w:tc>
          <w:tcPr>
            <w:tcW w:type="dxa" w:w="3168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Reranking &amp; LLM Integration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334155"/>
                <w:sz w:val="18"/>
              </w:rPr>
              <w:t>Cross-encoder model deployment (FP16 TensorRT), GPT-4o contextual generation, citation engine.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Phase 4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Weeks 7 - 8</w:t>
            </w:r>
          </w:p>
        </w:tc>
        <w:tc>
          <w:tcPr>
            <w:tcW w:type="dxa" w:w="3168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Testing, Tuning &amp; Deployment</w:t>
            </w:r>
          </w:p>
        </w:tc>
        <w:tc>
          <w:tcPr>
            <w:tcW w:type="dxa" w:w="2880"/>
            <w:shd w:fill="F8FAFC"/>
          </w:tcPr>
          <w:p>
            <w:r>
              <w:rPr>
                <w:rFonts w:ascii="Arial" w:hAnsi="Arial"/>
                <w:color w:val="334155"/>
                <w:sz w:val="18"/>
              </w:rPr>
              <w:t>Ragas benchmark evaluation, load testing (P95 &lt; 350ms), CI/CD pipeline &amp; canary release.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3. Sprint Execution Tasks</w:t>
      </w:r>
    </w:p>
    <w:p>
      <w:pPr>
        <w:keepNext/>
        <w:spacing w:before="280" w:after="120"/>
      </w:pPr>
      <w:r>
        <w:rPr>
          <w:rFonts w:ascii="Arial" w:hAnsi="Arial"/>
          <w:b/>
          <w:color w:val="0284C7"/>
          <w:sz w:val="26"/>
        </w:rPr>
        <w:t>3.1 Phase 1: Ingestion &amp; Indexing Setup (Weeks 1-2)</w:t>
      </w:r>
    </w:p>
    <w:p>
      <w:r>
        <w:rPr>
          <w:b/>
        </w:rPr>
        <w:t xml:space="preserve">• Task 1.1: </w:t>
      </w:r>
      <w:r>
        <w:t>Setup Qdrant Cloud cluster with dual vector collection schema (1536d Dense + Sparse index).</w:t>
        <w:br/>
      </w:r>
      <w:r>
        <w:rPr>
          <w:b/>
        </w:rPr>
        <w:t xml:space="preserve">• Task 1.2: </w:t>
      </w:r>
      <w:r>
        <w:t>Implement custom Python text pre-processor to preserve hyphenated part numbers (e.g., P-9913-BASE).</w:t>
        <w:br/>
      </w:r>
      <w:r>
        <w:rPr>
          <w:b/>
        </w:rPr>
        <w:t xml:space="preserve">• Task 1.3: </w:t>
      </w:r>
      <w:r>
        <w:t>Build batch ingestion pipeline processing PDF/HTML catalog manuals into 512-token chunks with 50-token overlap.</w:t>
      </w:r>
    </w:p>
    <w:p>
      <w:pPr>
        <w:keepNext/>
        <w:spacing w:before="280" w:after="120"/>
      </w:pPr>
      <w:r>
        <w:rPr>
          <w:rFonts w:ascii="Arial" w:hAnsi="Arial"/>
          <w:b/>
          <w:color w:val="0284C7"/>
          <w:sz w:val="26"/>
        </w:rPr>
        <w:t>3.2 Phase 2: Hybrid Retrieval &amp; Fusion Layer (Weeks 3-4)</w:t>
      </w:r>
    </w:p>
    <w:p>
      <w:r>
        <w:rPr>
          <w:b/>
        </w:rPr>
        <w:t xml:space="preserve">• Task 2.1: </w:t>
      </w:r>
      <w:r>
        <w:t>Develop non-blocking asyncio query pipeline firing simultaneous dense and sparse search calls to Qdrant.</w:t>
        <w:br/>
      </w:r>
      <w:r>
        <w:rPr>
          <w:b/>
        </w:rPr>
        <w:t xml:space="preserve">• Task 2.2: </w:t>
      </w:r>
      <w:r>
        <w:t>Implement Reciprocal Rank Fusion (RRF) mathematical merge algorithm with k=60 dampening constant.</w:t>
        <w:br/>
      </w:r>
      <w:r>
        <w:rPr>
          <w:b/>
        </w:rPr>
        <w:t xml:space="preserve">• Task 2.3: </w:t>
      </w:r>
      <w:r>
        <w:t>Incorporate dynamic payload filtering allowing query constraints by Category, Brand, and Warranty Status.</w:t>
      </w:r>
    </w:p>
    <w:p>
      <w:pPr>
        <w:keepNext/>
        <w:spacing w:before="280" w:after="120"/>
      </w:pPr>
      <w:r>
        <w:rPr>
          <w:rFonts w:ascii="Arial" w:hAnsi="Arial"/>
          <w:b/>
          <w:color w:val="0284C7"/>
          <w:sz w:val="26"/>
        </w:rPr>
        <w:t>3.3 Phase 3: Reranking &amp; Guardrails (Weeks 5-6)</w:t>
      </w:r>
    </w:p>
    <w:p>
      <w:r>
        <w:rPr>
          <w:b/>
        </w:rPr>
        <w:t xml:space="preserve">• Task 3.1: </w:t>
      </w:r>
      <w:r>
        <w:t>Containerize Cross-Encoder model (ms-marco-MiniLM-L-6-v2) on NVIDIA T4 GPU instance.</w:t>
        <w:br/>
      </w:r>
      <w:r>
        <w:rPr>
          <w:b/>
        </w:rPr>
        <w:t xml:space="preserve">• Task 3.2: </w:t>
      </w:r>
      <w:r>
        <w:t>Construct prompt template with strict system instructions enforcing context-only answers and exact citation tags.</w:t>
        <w:br/>
      </w:r>
      <w:r>
        <w:rPr>
          <w:b/>
        </w:rPr>
        <w:t xml:space="preserve">• Task 3.3: </w:t>
      </w:r>
      <w:r>
        <w:t>Integrate streaming LLM response wrapper using FastAPI WebSocket connections.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2"/>
        </w:rPr>
        <w:t>4. Technical Infrastructure &amp; Resource Allocation</w:t>
      </w:r>
    </w:p>
    <w:p>
      <w:r>
        <w:t>The deployment infrastructure relies on containerized microservices managed via Kubernetes (EKS):</w:t>
      </w:r>
    </w:p>
    <w:p>
      <w:r>
        <w:rPr>
          <w:b/>
        </w:rPr>
        <w:t xml:space="preserve">1. Qdrant Cluster: </w:t>
      </w:r>
      <w:r>
        <w:t>2 Nodes (16 vCPU, 64 GB RAM, NVMe SSD) for low-latency in-memory vector search.</w:t>
        <w:br/>
      </w:r>
      <w:r>
        <w:rPr>
          <w:b/>
        </w:rPr>
        <w:t xml:space="preserve">2. Model Inference Server: </w:t>
      </w:r>
      <w:r>
        <w:t>1 Node (NVIDIA T4 GPU) running Triton Inference Server for Cross-Encoder scoring.</w:t>
        <w:br/>
      </w:r>
      <w:r>
        <w:rPr>
          <w:b/>
        </w:rPr>
        <w:t xml:space="preserve">3. Application API Server: </w:t>
      </w:r>
      <w:r>
        <w:t>3 Pods (FastAPI / Uvicorn) with autoscaling triggers based on CPU/RAM thresholds.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