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44"/>
        </w:rPr>
        <w:t>SYSTEM REQUIREMENTS SPECIFICATION (SRS)</w:t>
        <w:br/>
      </w:r>
      <w:r>
        <w:rPr>
          <w:rFonts w:ascii="Arial" w:hAnsi="Arial"/>
          <w:color w:val="0284C7"/>
          <w:sz w:val="24"/>
        </w:rPr>
        <w:t>Hybrid RAG Engine for E-Commerce Multi-Catalog Support Desk</w:t>
      </w:r>
    </w:p>
    <w:p>
      <w:pPr>
        <w:spacing w:after="360"/>
      </w:pPr>
      <w:r>
        <w:rPr>
          <w:rFonts w:ascii="Arial" w:hAnsi="Arial"/>
          <w:i/>
          <w:color w:val="64748B"/>
          <w:sz w:val="19"/>
        </w:rPr>
        <w:t>Document Version: 1.0.0  |  Author: Enterprise Architecture Team  |  Status: Approved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1. Executive Overview &amp; Purpose</w:t>
      </w:r>
    </w:p>
    <w:p>
      <w:r>
        <w:t>This document outlines the functional, non-functional, interface, and operational requirements for the Hybrid Retrieval-Augmented Generation (RAG) Support Engine. The system will empower support agents and automated customer portals with precise, context-aware answers derived from multi-brand technical product catalogs, service manuals, and warranty documentation.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2. Functional Requirements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2160"/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4320"/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Requirement Description</w:t>
            </w:r>
          </w:p>
        </w:tc>
        <w:tc>
          <w:tcPr>
            <w:tcW w:type="dxa" w:w="1440"/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FR-01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Hybrid Retrieval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System must execute simultaneous dense semantic search and sparse BM25 keyword search across product catalog databases.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High / Critical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FR-02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Exact SKU Match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Regex pre-processing must preserve alphanumeric part numbers (e.g., P-9913-BASE) without stripping punctuation.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High / Critical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FR-03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Metadata Filtering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Queries must support instant dynamic filtering by Category, Brand, Region, and Active Catalog Version.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Medium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FR-04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Citation Grounding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Generated responses must include inline citations linked directly to target source document page and paragraph.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High / Critical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FR-05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Guardrails &amp; Safety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System must detect out-of-scope/adversarial queries and trigger polite refusal responses without hallucinating.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High / Critical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3. Non-Functional Requirements (NFRs)</w:t>
      </w: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6"/>
        </w:rPr>
        <w:t>3.1 Latency &amp; Performance</w:t>
      </w:r>
    </w:p>
    <w:p>
      <w:r>
        <w:rPr>
          <w:b/>
        </w:rPr>
        <w:t xml:space="preserve">• NFR-P1: </w:t>
      </w:r>
      <w:r>
        <w:t>End-to-end query latency (p95) must remain under 350ms for hybrid retrieval and under 1.5s for complete LLM response generation.</w:t>
        <w:br/>
      </w:r>
      <w:r>
        <w:rPr>
          <w:b/>
        </w:rPr>
        <w:t xml:space="preserve">• NFR-P2: </w:t>
      </w:r>
      <w:r>
        <w:t>System must support a minimum concurrent throughput of 150 requests per second (RPS) under peak load.</w:t>
      </w: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6"/>
        </w:rPr>
        <w:t>3.2 Scalability &amp; Availability</w:t>
      </w:r>
    </w:p>
    <w:p>
      <w:r>
        <w:rPr>
          <w:b/>
        </w:rPr>
        <w:t xml:space="preserve">• NFR-S1: </w:t>
      </w:r>
      <w:r>
        <w:t>The vector database cluster must horizontally scale to index over 5,000 multi-page PDF catalogs (&gt;2,000,000 text chunks).</w:t>
        <w:br/>
      </w:r>
      <w:r>
        <w:rPr>
          <w:b/>
        </w:rPr>
        <w:t xml:space="preserve">• NFR-S2: </w:t>
      </w:r>
      <w:r>
        <w:t>API layer availability must achieve 99.95% uptime with multi-AZ failover capabilities.</w:t>
      </w: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6"/>
        </w:rPr>
        <w:t>3.3 Security &amp; Compliance</w:t>
      </w:r>
    </w:p>
    <w:p>
      <w:r>
        <w:rPr>
          <w:b/>
        </w:rPr>
        <w:t xml:space="preserve">• NFR-SEC1: </w:t>
      </w:r>
      <w:r>
        <w:t>Data in transit must be encrypted using TLS 1.3; vector stores and databases at rest must use AES-256 encryption.</w:t>
        <w:br/>
      </w:r>
      <w:r>
        <w:rPr>
          <w:b/>
        </w:rPr>
        <w:t xml:space="preserve">• NFR-SEC2: </w:t>
      </w:r>
      <w:r>
        <w:t>Role-Based Access Control (RBAC) must govern internal administrative access and catalog management pipelines.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