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4"/>
        </w:rPr>
        <w:t>TECHNICAL DESIGN DOCUMENT (TDD)</w:t>
        <w:br/>
      </w:r>
      <w:r>
        <w:rPr>
          <w:rFonts w:ascii="Arial" w:hAnsi="Arial"/>
          <w:color w:val="0284C7"/>
          <w:sz w:val="24"/>
        </w:rPr>
        <w:t>Architecture, Vector Pipeline &amp; API Specification for Hybrid RAG Engine</w:t>
      </w:r>
    </w:p>
    <w:p>
      <w:pPr>
        <w:spacing w:after="360"/>
      </w:pPr>
      <w:r>
        <w:rPr>
          <w:rFonts w:ascii="Arial" w:hAnsi="Arial"/>
          <w:i/>
          <w:color w:val="64748B"/>
          <w:sz w:val="19"/>
        </w:rPr>
        <w:t>Document Version: 1.0.0  |  Lead Architect: AI Systems Engineering  |  Status: Approved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1. High-Level System Architecture</w:t>
      </w:r>
    </w:p>
    <w:p>
      <w:r>
        <w:t>The Hybrid RAG system implements a dual-branch retrieval pipeline combining dense vector embeddings (semantic comprehension) and sparse lexical inverted indices (exact keyword/part-number matching). Results are merged via Reciprocal Rank Fusion (RRF) and passed to a GPU-accelerated Cross-Encoder before LLM context synthesis.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2. System Components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Component Layer</w:t>
            </w:r>
          </w:p>
        </w:tc>
        <w:tc>
          <w:tcPr>
            <w:tcW w:type="dxa" w:w="2448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4320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Configuration / Responsibilities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Ingestion Pipeline</w:t>
            </w:r>
          </w:p>
        </w:tc>
        <w:tc>
          <w:tcPr>
            <w:tcW w:type="dxa" w:w="244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Python, Unstructured, LangChain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Extracts PDF text/tables, applies 512-token sliding window chunking with 50-token overlap.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Vector Storage</w:t>
            </w:r>
          </w:p>
        </w:tc>
        <w:tc>
          <w:tcPr>
            <w:tcW w:type="dxa" w:w="244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Qdrant Cluster (HNSW + Sparse)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Dual collection indexing 1536d dense vectors (OpenAI text-embedding-3-small) + BM25 sparse vectors.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Fusion &amp; Reranking</w:t>
            </w:r>
          </w:p>
        </w:tc>
        <w:tc>
          <w:tcPr>
            <w:tcW w:type="dxa" w:w="244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FastAPI, Triton Inference, Cross-Encoder</w:t>
            </w:r>
          </w:p>
        </w:tc>
        <w:tc>
          <w:tcPr>
            <w:tcW w:type="dxa" w:w="432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Reciprocal Rank Fusion (k=60) followed by ms-marco-MiniLM-L-6-v2 cross-encoder reranking.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LLM Orchestration</w:t>
            </w:r>
          </w:p>
        </w:tc>
        <w:tc>
          <w:tcPr>
            <w:tcW w:type="dxa" w:w="244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GPT-4o / LangChain, Redis Cache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Generates grounded answers with strict system prompts; caches frequent embeddings/queries in Redis.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3. Reciprocal Rank Fusion (RRF) Implementation</w:t>
      </w:r>
    </w:p>
    <w:p>
      <w:r>
        <w:t>The fusion engine combines ranked lists from dense vector search (R_dense) and sparse keyword search (R_sparse) using the following formula:</w:t>
      </w:r>
    </w:p>
    <w:p>
      <w:pPr>
        <w:ind w:left="432"/>
      </w:pPr>
      <w:r>
        <w:rPr>
          <w:rFonts w:ascii="Courier New" w:hAnsi="Courier New"/>
          <w:b/>
          <w:sz w:val="20"/>
        </w:rPr>
        <w:t>RRF_Score(d) = Σ [ 1 / (k + rank_dense(d)) ] + Σ [ 1 / (k + rank_sparse(d)) ]</w:t>
      </w:r>
    </w:p>
    <w:p>
      <w:r>
        <w:t>Where k = 60 is a smoothing constant that balances top-ranked documents against longer tail relevance scores across both branches.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4. API Endpoint Contract Specification</w:t>
      </w:r>
    </w:p>
    <w:p>
      <w:r>
        <w:t>Primary REST API contract for support portal integration:</w:t>
      </w:r>
    </w:p>
    <w:p>
      <w:pPr>
        <w:ind w:left="288"/>
      </w:pPr>
      <w:r>
        <w:rPr>
          <w:rFonts w:ascii="Courier New" w:hAnsi="Courier New"/>
          <w:sz w:val="17"/>
        </w:rPr>
        <w:t>POST /api/v1/query/search</w:t>
        <w:br/>
        <w:t>Content-Type: application/json</w:t>
        <w:br/>
        <w:br/>
        <w:t>{</w:t>
        <w:br/>
        <w:t xml:space="preserve">  "query": "What is the replacement torque setting for part P-9913-BASE?",</w:t>
        <w:br/>
        <w:t xml:space="preserve">  "filters": {</w:t>
        <w:br/>
        <w:t xml:space="preserve">    "category": "Office Chairs",</w:t>
        <w:br/>
        <w:t xml:space="preserve">    "brand": "ErgoPro"</w:t>
        <w:br/>
        <w:t xml:space="preserve">  },</w:t>
        <w:br/>
        <w:t xml:space="preserve">  "top_k": 5,</w:t>
        <w:br/>
        <w:t xml:space="preserve">  "stream": true</w:t>
        <w:br/>
        <w:t>}</w:t>
        <w:br/>
        <w:br/>
        <w:t>Response (200 OK - Streaming Chunk):</w:t>
        <w:br/>
        <w:t>{</w:t>
        <w:br/>
        <w:t xml:space="preserve">  "chunk": "The replacement torque setting for screw P-9913-BASE is 12.5 Nm [Source: Manual v2, Pg 14].",</w:t>
        <w:br/>
        <w:t xml:space="preserve">  "citations": [</w:t>
        <w:br/>
        <w:t xml:space="preserve">    {</w:t>
        <w:br/>
        <w:t xml:space="preserve">      "document_id": "doc_882",</w:t>
        <w:br/>
        <w:t xml:space="preserve">      "title": "ErgoPro Assembly Manual",</w:t>
        <w:br/>
        <w:t xml:space="preserve">      "page": 14,</w:t>
        <w:br/>
        <w:t xml:space="preserve">      "score": 0.942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