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t>ANKARA ÜNİVERSİTESİ</w:t>
        <w:br/>
        <w:t>MÜHENDİSLİK FAKÜLTESİ</w:t>
        <w:br/>
        <w:t>BİLGİSAYAR MÜHENDİSLİĞİ BÖLÜMÜ</w:t>
      </w:r>
    </w:p>
    <w:p/>
    <w:p>
      <w:pPr>
        <w:jc w:val="center"/>
      </w:pPr>
      <w:r>
        <w:rPr>
          <w:sz w:val="24"/>
        </w:rPr>
        <w:t>COM 4532 — Blokzincir Teknolojisi ve Kamuya Açık Defterler</w:t>
      </w:r>
    </w:p>
    <w:p/>
    <w:p>
      <w:pPr>
        <w:jc w:val="center"/>
      </w:pPr>
      <w:r>
        <w:rPr>
          <w:b/>
          <w:color w:val="1F3A5F"/>
          <w:sz w:val="36"/>
        </w:rPr>
        <w:t>PROJE RAPORU</w:t>
      </w:r>
    </w:p>
    <w:p/>
    <w:p>
      <w:pPr>
        <w:jc w:val="center"/>
      </w:pPr>
      <w:r>
        <w:rPr>
          <w:b/>
          <w:sz w:val="30"/>
        </w:rPr>
        <w:t>Çok İmzalı (Multi-Signature) Cüzdan Implementasyonu</w:t>
      </w:r>
    </w:p>
    <w:p/>
    <w:p/>
    <w:p>
      <w:pPr>
        <w:jc w:val="center"/>
      </w:pPr>
      <w:r>
        <w:rPr>
          <w:sz w:val="24"/>
        </w:rPr>
        <w:t>Merve ÇAKIR — 21290542</w:t>
        <w:br/>
        <w:t>Emine BİNAY — 22290370</w:t>
        <w:br/>
        <w:t>İrem KESKİN — 21290538</w:t>
      </w:r>
    </w:p>
    <w:p/>
    <w:p>
      <w:pPr>
        <w:jc w:val="center"/>
      </w:pPr>
      <w:r>
        <w:rPr>
          <w:sz w:val="22"/>
        </w:rPr>
        <w:t>Dr. Murat OSMANOĞLU</w:t>
      </w:r>
    </w:p>
    <w:p/>
    <w:p>
      <w:pPr>
        <w:jc w:val="center"/>
      </w:pPr>
      <w:r>
        <w:rPr>
          <w:sz w:val="22"/>
        </w:rPr>
        <w:t>16.06.2026</w:t>
      </w:r>
    </w:p>
    <w:p>
      <w:r>
        <w:br w:type="page"/>
      </w:r>
    </w:p>
    <w:p>
      <w:pPr>
        <w:pStyle w:val="Heading1"/>
      </w:pPr>
      <w:r>
        <w:t>1. Proje Özeti</w:t>
      </w:r>
    </w:p>
    <w:p>
      <w:r>
        <w:rPr>
          <w:b w:val="0"/>
          <w:sz w:val="22"/>
        </w:rPr>
        <w:t>Bu projede Ethereum blokzinciri üzerinde çalışan, Solidity ile yazılmış modüler bir çok imzalı (multi-signature) cüzdan sistemi geliştirilmiştir. Sistem; tek özel anahtara (private key) bağımlı olan tek imzalı cüzdanların güvenlik zafiyetini ortadan kaldırmayı hedefler. Bir işlemin yürütülebilmesi için N sahibin en az M tanesinin onayı zorunludur (M-of-N eşik şeması).</w:t>
      </w:r>
    </w:p>
    <w:p>
      <w:r>
        <w:rPr>
          <w:b w:val="0"/>
          <w:sz w:val="22"/>
        </w:rPr>
        <w:t>Projemiz iki katmandan oluşmaktadır:</w:t>
      </w:r>
    </w:p>
    <w:p>
      <w:pPr>
        <w:pStyle w:val="ListBullet"/>
        <w:ind w:left="283"/>
      </w:pPr>
      <w:r>
        <w:rPr>
          <w:sz w:val="21"/>
        </w:rPr>
        <w:t>Zincir üstü (on-chain) katman: Solidity ile yazılmış 3 modüler akıllı kontrat — sahip yönetimi, işlem yaşam döngüsü ve güvenlik mekanizmaları.</w:t>
      </w:r>
    </w:p>
    <w:p>
      <w:pPr>
        <w:pStyle w:val="ListBullet"/>
        <w:ind w:left="283"/>
      </w:pPr>
      <w:r>
        <w:rPr>
          <w:sz w:val="21"/>
        </w:rPr>
        <w:t>Zincir dışı (off-chain) katman: Web3.py ile blockchain etkileşimi sağlayan Python backend ve Streamlit ile yazılmış kullanıcı arayüzü.</w:t>
      </w:r>
    </w:p>
    <w:p>
      <w:r>
        <w:rPr>
          <w:b w:val="0"/>
          <w:sz w:val="22"/>
        </w:rPr>
        <w:t>Sistem Sepolia test ağına deploy edilmiş ve gerçek ETH transferleri gerçekleştirilmiştir.</w:t>
      </w:r>
    </w:p>
    <w:p>
      <w:pPr>
        <w:spacing w:before="80" w:after="80"/>
      </w:pPr>
      <w:r>
        <w:rPr>
          <w:color w:val="CCCCCC"/>
          <w:sz w:val="16"/>
        </w:rPr>
        <w:t>────────────────────────────────────────────────────────────────────────────────</w:t>
      </w:r>
    </w:p>
    <w:p>
      <w:pPr>
        <w:pStyle w:val="Heading1"/>
      </w:pPr>
      <w:r>
        <w:t>2. Ekip Görev Dağılımı</w:t>
      </w:r>
    </w:p>
    <w:tbl>
      <w:tblPr>
        <w:tblStyle w:val="TableGrid"/>
        <w:tblW w:type="auto" w:w="0"/>
        <w:tblLook w:firstColumn="1" w:firstRow="1" w:lastColumn="0" w:lastRow="0" w:noHBand="0" w:noVBand="1" w:val="04A0"/>
      </w:tblPr>
      <w:tblGrid>
        <w:gridCol w:w="3041"/>
        <w:gridCol w:w="3041"/>
        <w:gridCol w:w="3041"/>
      </w:tblGrid>
      <w:tr>
        <w:tc>
          <w:tcPr>
            <w:tcW w:type="dxa" w:w="1984"/>
            <w:shd w:fill="1F3A5F" w:color="FFFFFF" w:val="clear"/>
          </w:tcPr>
          <w:p>
            <w:pPr>
              <w:jc w:val="center"/>
            </w:pPr>
            <w:r>
              <w:rPr>
                <w:b/>
                <w:color w:val="FFFFFF"/>
                <w:sz w:val="20"/>
              </w:rPr>
              <w:t>Kişi</w:t>
            </w:r>
          </w:p>
        </w:tc>
        <w:tc>
          <w:tcPr>
            <w:tcW w:type="dxa" w:w="3969"/>
            <w:shd w:fill="1F3A5F" w:color="FFFFFF" w:val="clear"/>
          </w:tcPr>
          <w:p>
            <w:pPr>
              <w:jc w:val="center"/>
            </w:pPr>
            <w:r>
              <w:rPr>
                <w:b/>
                <w:color w:val="FFFFFF"/>
                <w:sz w:val="20"/>
              </w:rPr>
              <w:t>Sorumluluk Alanı</w:t>
            </w:r>
          </w:p>
        </w:tc>
        <w:tc>
          <w:tcPr>
            <w:tcW w:type="dxa" w:w="3118"/>
            <w:shd w:fill="1F3A5F" w:color="FFFFFF" w:val="clear"/>
          </w:tcPr>
          <w:p>
            <w:pPr>
              <w:jc w:val="center"/>
            </w:pPr>
            <w:r>
              <w:rPr>
                <w:b/>
                <w:color w:val="FFFFFF"/>
                <w:sz w:val="20"/>
              </w:rPr>
              <w:t>Dosyalar</w:t>
            </w:r>
          </w:p>
        </w:tc>
      </w:tr>
      <w:tr>
        <w:tc>
          <w:tcPr>
            <w:tcW w:type="dxa" w:w="1984"/>
          </w:tcPr>
          <w:p>
            <w:r>
              <w:rPr>
                <w:sz w:val="20"/>
              </w:rPr>
              <w:t>Merve Çakır</w:t>
            </w:r>
          </w:p>
        </w:tc>
        <w:tc>
          <w:tcPr>
            <w:tcW w:type="dxa" w:w="3969"/>
          </w:tcPr>
          <w:p>
            <w:r>
              <w:rPr>
                <w:sz w:val="20"/>
              </w:rPr>
              <w:t>Akıllı kontrat tasarımı, güvenlik mekanizmaları, test altyapısı, proje koordinasyonu</w:t>
            </w:r>
          </w:p>
        </w:tc>
        <w:tc>
          <w:tcPr>
            <w:tcW w:type="dxa" w:w="3118"/>
          </w:tcPr>
          <w:p>
            <w:r>
              <w:rPr>
                <w:sz w:val="20"/>
              </w:rPr>
              <w:t>contracts/*.sol, test/test_multisig.py, test/gas_benchmark.py</w:t>
            </w:r>
          </w:p>
        </w:tc>
      </w:tr>
      <w:tr>
        <w:tc>
          <w:tcPr>
            <w:tcW w:type="dxa" w:w="1984"/>
          </w:tcPr>
          <w:p>
            <w:r>
              <w:rPr>
                <w:sz w:val="20"/>
              </w:rPr>
              <w:t>Emine Binay</w:t>
            </w:r>
          </w:p>
        </w:tc>
        <w:tc>
          <w:tcPr>
            <w:tcW w:type="dxa" w:w="3969"/>
          </w:tcPr>
          <w:p>
            <w:r>
              <w:rPr>
                <w:sz w:val="20"/>
              </w:rPr>
              <w:t>Python backend, Web3.py entegrasyonu, blockchain bağlantısı</w:t>
            </w:r>
          </w:p>
        </w:tc>
        <w:tc>
          <w:tcPr>
            <w:tcW w:type="dxa" w:w="3118"/>
          </w:tcPr>
          <w:p>
            <w:r>
              <w:rPr>
                <w:sz w:val="20"/>
              </w:rPr>
              <w:t>irem/backend/wallet_service.py, irem/backend/config.py</w:t>
            </w:r>
          </w:p>
        </w:tc>
      </w:tr>
      <w:tr>
        <w:tc>
          <w:tcPr>
            <w:tcW w:type="dxa" w:w="1984"/>
          </w:tcPr>
          <w:p>
            <w:r>
              <w:rPr>
                <w:sz w:val="20"/>
              </w:rPr>
              <w:t>İrem Keskin</w:t>
            </w:r>
          </w:p>
        </w:tc>
        <w:tc>
          <w:tcPr>
            <w:tcW w:type="dxa" w:w="3969"/>
          </w:tcPr>
          <w:p>
            <w:r>
              <w:rPr>
                <w:sz w:val="20"/>
              </w:rPr>
              <w:t>Streamlit kullanıcı arayüzü, oturum yönetimi, PDF raporu</w:t>
            </w:r>
          </w:p>
        </w:tc>
        <w:tc>
          <w:tcPr>
            <w:tcW w:type="dxa" w:w="3118"/>
          </w:tcPr>
          <w:p>
            <w:r>
              <w:rPr>
                <w:sz w:val="20"/>
              </w:rPr>
              <w:t>irem/app.py</w:t>
            </w:r>
          </w:p>
        </w:tc>
      </w:tr>
    </w:tbl>
    <w:p/>
    <w:p>
      <w:pPr>
        <w:spacing w:before="80" w:after="80"/>
      </w:pPr>
      <w:r>
        <w:rPr>
          <w:color w:val="CCCCCC"/>
          <w:sz w:val="16"/>
        </w:rPr>
        <w:t>────────────────────────────────────────────────────────────────────────────────</w:t>
      </w:r>
    </w:p>
    <w:p>
      <w:pPr>
        <w:pStyle w:val="Heading1"/>
      </w:pPr>
      <w:r>
        <w:t>3. Sistem Mimarisi</w:t>
      </w:r>
    </w:p>
    <w:p>
      <w:r>
        <w:rPr>
          <w:b/>
          <w:sz w:val="24"/>
        </w:rPr>
        <w:t>3.1 Akıllı Kontrat Katmanı</w:t>
      </w:r>
    </w:p>
    <w:p>
      <w:r>
        <w:rPr>
          <w:b w:val="0"/>
          <w:sz w:val="22"/>
        </w:rPr>
        <w:t>Proje üç birbirini miras alan (inheritance) Solidity kontratından oluşmaktadır. Bu modüler tasarım; saldırı yüzeyini küçültür, kod karmaşıklığını azaltır ve her bileşenin bağımsız olarak test edilmesini sağlar.</w:t>
      </w:r>
    </w:p>
    <w:tbl>
      <w:tblPr>
        <w:tblStyle w:val="TableGrid"/>
        <w:tblW w:type="auto" w:w="0"/>
        <w:tblLook w:firstColumn="1" w:firstRow="1" w:lastColumn="0" w:lastRow="0" w:noHBand="0" w:noVBand="1" w:val="04A0"/>
      </w:tblPr>
      <w:tblGrid>
        <w:gridCol w:w="3041"/>
        <w:gridCol w:w="3041"/>
        <w:gridCol w:w="3041"/>
      </w:tblGrid>
      <w:tr>
        <w:tc>
          <w:tcPr>
            <w:tcW w:type="dxa" w:w="2268"/>
            <w:shd w:fill="1F3A5F" w:color="FFFFFF" w:val="clear"/>
          </w:tcPr>
          <w:p>
            <w:pPr>
              <w:jc w:val="center"/>
            </w:pPr>
            <w:r>
              <w:rPr>
                <w:b/>
                <w:color w:val="FFFFFF"/>
                <w:sz w:val="20"/>
              </w:rPr>
              <w:t>Kontrat</w:t>
            </w:r>
          </w:p>
        </w:tc>
        <w:tc>
          <w:tcPr>
            <w:tcW w:type="dxa" w:w="3402"/>
            <w:shd w:fill="1F3A5F" w:color="FFFFFF" w:val="clear"/>
          </w:tcPr>
          <w:p>
            <w:pPr>
              <w:jc w:val="center"/>
            </w:pPr>
            <w:r>
              <w:rPr>
                <w:b/>
                <w:color w:val="FFFFFF"/>
                <w:sz w:val="20"/>
              </w:rPr>
              <w:t>Görev</w:t>
            </w:r>
          </w:p>
        </w:tc>
        <w:tc>
          <w:tcPr>
            <w:tcW w:type="dxa" w:w="3402"/>
            <w:shd w:fill="1F3A5F" w:color="FFFFFF" w:val="clear"/>
          </w:tcPr>
          <w:p>
            <w:pPr>
              <w:jc w:val="center"/>
            </w:pPr>
            <w:r>
              <w:rPr>
                <w:b/>
                <w:color w:val="FFFFFF"/>
                <w:sz w:val="20"/>
              </w:rPr>
              <w:t>Kritik Özellikler</w:t>
            </w:r>
          </w:p>
        </w:tc>
      </w:tr>
      <w:tr>
        <w:tc>
          <w:tcPr>
            <w:tcW w:type="dxa" w:w="2268"/>
          </w:tcPr>
          <w:p>
            <w:r>
              <w:rPr>
                <w:sz w:val="20"/>
              </w:rPr>
              <w:t>TransactionManager.sol</w:t>
            </w:r>
          </w:p>
        </w:tc>
        <w:tc>
          <w:tcPr>
            <w:tcW w:type="dxa" w:w="3402"/>
          </w:tcPr>
          <w:p>
            <w:r>
              <w:rPr>
                <w:sz w:val="20"/>
              </w:rPr>
              <w:t>İşlem yaşam döngüsü: submit → confirm → execute → revoke</w:t>
            </w:r>
          </w:p>
        </w:tc>
        <w:tc>
          <w:tcPr>
            <w:tcW w:type="dxa" w:w="3402"/>
          </w:tcPr>
          <w:p>
            <w:r>
              <w:rPr>
                <w:sz w:val="20"/>
              </w:rPr>
              <w:t>CEI pattern, reentrancy guard, time-lock, executed flag</w:t>
            </w:r>
          </w:p>
        </w:tc>
      </w:tr>
      <w:tr>
        <w:tc>
          <w:tcPr>
            <w:tcW w:type="dxa" w:w="2268"/>
          </w:tcPr>
          <w:p>
            <w:r>
              <w:rPr>
                <w:sz w:val="20"/>
              </w:rPr>
              <w:t>OwnerManager.sol</w:t>
            </w:r>
          </w:p>
        </w:tc>
        <w:tc>
          <w:tcPr>
            <w:tcW w:type="dxa" w:w="3402"/>
          </w:tcPr>
          <w:p>
            <w:r>
              <w:rPr>
                <w:sz w:val="20"/>
              </w:rPr>
              <w:t>Sahip yönetimi: ekleme, çıkarma, değiştirme, threshold güncelleme</w:t>
            </w:r>
          </w:p>
        </w:tc>
        <w:tc>
          <w:tcPr>
            <w:tcW w:type="dxa" w:w="3402"/>
          </w:tcPr>
          <w:p>
            <w:r>
              <w:rPr>
                <w:sz w:val="20"/>
              </w:rPr>
              <w:t>onlyWallet modifier — sadece multi-sig konsensüsüyle değişir</w:t>
            </w:r>
          </w:p>
        </w:tc>
      </w:tr>
      <w:tr>
        <w:tc>
          <w:tcPr>
            <w:tcW w:type="dxa" w:w="2268"/>
          </w:tcPr>
          <w:p>
            <w:r>
              <w:rPr>
                <w:sz w:val="20"/>
              </w:rPr>
              <w:t>MultiSigWallet.sol</w:t>
            </w:r>
          </w:p>
        </w:tc>
        <w:tc>
          <w:tcPr>
            <w:tcW w:type="dxa" w:w="3402"/>
          </w:tcPr>
          <w:p>
            <w:r>
              <w:rPr>
                <w:sz w:val="20"/>
              </w:rPr>
              <w:t>Ana kontrat — diğerlerini miras alır, emergency pause, DOMAIN_SEPARATOR</w:t>
            </w:r>
          </w:p>
        </w:tc>
        <w:tc>
          <w:tcPr>
            <w:tcW w:type="dxa" w:w="3402"/>
          </w:tcPr>
          <w:p>
            <w:r>
              <w:rPr>
                <w:sz w:val="20"/>
              </w:rPr>
              <w:t>EIP-712 replay koruması, pause/unpause, event yayınlama</w:t>
            </w:r>
          </w:p>
        </w:tc>
      </w:tr>
    </w:tbl>
    <w:p/>
    <w:p>
      <w:r>
        <w:rPr>
          <w:b/>
          <w:sz w:val="22"/>
        </w:rPr>
        <w:t>Kontrat Adresi (Sepolia Testnet):</w:t>
      </w:r>
    </w:p>
    <w:p>
      <w:pPr>
        <w:spacing w:before="40" w:after="40"/>
        <w:ind w:left="567"/>
      </w:pPr>
      <w:r>
        <w:rPr>
          <w:rFonts w:ascii="Courier New" w:hAnsi="Courier New"/>
          <w:color w:val="1A1A2E"/>
          <w:sz w:val="18"/>
        </w:rPr>
        <w:t>0x5cD9338E23dec13b985DAE792E2D4E419B9443e4</w:t>
      </w:r>
    </w:p>
    <w:p>
      <w:r>
        <w:rPr>
          <w:b w:val="0"/>
          <w:sz w:val="20"/>
        </w:rPr>
        <w:t>Ağ: Sepolia (chainId: 11155111)  |  Solidity: 0.8.20  |  OpenZeppelin: 5.x</w:t>
      </w:r>
    </w:p>
    <w:p/>
    <w:p>
      <w:r>
        <w:rPr>
          <w:b/>
          <w:sz w:val="24"/>
        </w:rPr>
        <w:t>3.2 Backend Katmanı (wallet_service.py)</w:t>
      </w:r>
    </w:p>
    <w:p>
      <w:r>
        <w:rPr>
          <w:b w:val="0"/>
          <w:sz w:val="22"/>
        </w:rPr>
        <w:t>Web3.py 7.16.0 kullanılarak yazılan Python backend, akıllı kontratla tüm etkileşimi yönetir. Her fonksiyon private key parametresi alarak farklı sahiplerin kendi kimliğiyle işlem imzalamasına izin verir.</w:t>
      </w:r>
    </w:p>
    <w:tbl>
      <w:tblPr>
        <w:tblStyle w:val="TableGrid"/>
        <w:tblW w:type="auto" w:w="0"/>
        <w:tblLook w:firstColumn="1" w:firstRow="1" w:lastColumn="0" w:lastRow="0" w:noHBand="0" w:noVBand="1" w:val="04A0"/>
      </w:tblPr>
      <w:tblGrid>
        <w:gridCol w:w="4561"/>
        <w:gridCol w:w="4561"/>
      </w:tblGrid>
      <w:tr>
        <w:tc>
          <w:tcPr>
            <w:tcW w:type="dxa" w:w="3402"/>
            <w:shd w:fill="1F3A5F" w:color="FFFFFF" w:val="clear"/>
          </w:tcPr>
          <w:p>
            <w:pPr>
              <w:jc w:val="center"/>
            </w:pPr>
            <w:r>
              <w:rPr>
                <w:b/>
                <w:color w:val="FFFFFF"/>
                <w:sz w:val="20"/>
              </w:rPr>
              <w:t>Fonksiyon</w:t>
            </w:r>
          </w:p>
        </w:tc>
        <w:tc>
          <w:tcPr>
            <w:tcW w:type="dxa" w:w="5669"/>
            <w:shd w:fill="1F3A5F" w:color="FFFFFF" w:val="clear"/>
          </w:tcPr>
          <w:p>
            <w:pPr>
              <w:jc w:val="center"/>
            </w:pPr>
            <w:r>
              <w:rPr>
                <w:b/>
                <w:color w:val="FFFFFF"/>
                <w:sz w:val="20"/>
              </w:rPr>
              <w:t>Açıklama</w:t>
            </w:r>
          </w:p>
        </w:tc>
      </w:tr>
      <w:tr>
        <w:tc>
          <w:tcPr>
            <w:tcW w:type="dxa" w:w="3402"/>
          </w:tcPr>
          <w:p>
            <w:r>
              <w:rPr>
                <w:sz w:val="20"/>
              </w:rPr>
              <w:t>get_wallet_stats()</w:t>
            </w:r>
          </w:p>
        </w:tc>
        <w:tc>
          <w:tcPr>
            <w:tcW w:type="dxa" w:w="5669"/>
          </w:tcPr>
          <w:p>
            <w:r>
              <w:rPr>
                <w:sz w:val="20"/>
              </w:rPr>
              <w:t>Bakiye, threshold, sahip listesi, kontrat adresi</w:t>
            </w:r>
          </w:p>
        </w:tc>
      </w:tr>
      <w:tr>
        <w:tc>
          <w:tcPr>
            <w:tcW w:type="dxa" w:w="3402"/>
          </w:tcPr>
          <w:p>
            <w:r>
              <w:rPr>
                <w:sz w:val="20"/>
              </w:rPr>
              <w:t>get_pending_transactions()</w:t>
            </w:r>
          </w:p>
        </w:tc>
        <w:tc>
          <w:tcPr>
            <w:tcW w:type="dxa" w:w="5669"/>
          </w:tcPr>
          <w:p>
            <w:r>
              <w:rPr>
                <w:sz w:val="20"/>
              </w:rPr>
              <w:t>Yürütülmemiş işlemlerin listesi</w:t>
            </w:r>
          </w:p>
        </w:tc>
      </w:tr>
      <w:tr>
        <w:tc>
          <w:tcPr>
            <w:tcW w:type="dxa" w:w="3402"/>
          </w:tcPr>
          <w:p>
            <w:r>
              <w:rPr>
                <w:sz w:val="20"/>
              </w:rPr>
              <w:t>submit_transaction(to, amount, data)</w:t>
            </w:r>
          </w:p>
        </w:tc>
        <w:tc>
          <w:tcPr>
            <w:tcW w:type="dxa" w:w="5669"/>
          </w:tcPr>
          <w:p>
            <w:r>
              <w:rPr>
                <w:sz w:val="20"/>
              </w:rPr>
              <w:t>Yeni işlem teklifi oluşturur</w:t>
            </w:r>
          </w:p>
        </w:tc>
      </w:tr>
      <w:tr>
        <w:tc>
          <w:tcPr>
            <w:tcW w:type="dxa" w:w="3402"/>
          </w:tcPr>
          <w:p>
            <w:r>
              <w:rPr>
                <w:sz w:val="20"/>
              </w:rPr>
              <w:t>approve_transaction(tx_id)</w:t>
            </w:r>
          </w:p>
        </w:tc>
        <w:tc>
          <w:tcPr>
            <w:tcW w:type="dxa" w:w="5669"/>
          </w:tcPr>
          <w:p>
            <w:r>
              <w:rPr>
                <w:sz w:val="20"/>
              </w:rPr>
              <w:t>İşlemi onaylar (confirmTransaction)</w:t>
            </w:r>
          </w:p>
        </w:tc>
      </w:tr>
      <w:tr>
        <w:tc>
          <w:tcPr>
            <w:tcW w:type="dxa" w:w="3402"/>
          </w:tcPr>
          <w:p>
            <w:r>
              <w:rPr>
                <w:sz w:val="20"/>
              </w:rPr>
              <w:t>execute_transaction(tx_id)</w:t>
            </w:r>
          </w:p>
        </w:tc>
        <w:tc>
          <w:tcPr>
            <w:tcW w:type="dxa" w:w="5669"/>
          </w:tcPr>
          <w:p>
            <w:r>
              <w:rPr>
                <w:sz w:val="20"/>
              </w:rPr>
              <w:t>Onaylanmış işlemi yürütür</w:t>
            </w:r>
          </w:p>
        </w:tc>
      </w:tr>
      <w:tr>
        <w:tc>
          <w:tcPr>
            <w:tcW w:type="dxa" w:w="3402"/>
          </w:tcPr>
          <w:p>
            <w:r>
              <w:rPr>
                <w:sz w:val="20"/>
              </w:rPr>
              <w:t>revoke_confirmation(tx_id)</w:t>
            </w:r>
          </w:p>
        </w:tc>
        <w:tc>
          <w:tcPr>
            <w:tcW w:type="dxa" w:w="5669"/>
          </w:tcPr>
          <w:p>
            <w:r>
              <w:rPr>
                <w:sz w:val="20"/>
              </w:rPr>
              <w:t>Verilen onayı geri çeker</w:t>
            </w:r>
          </w:p>
        </w:tc>
      </w:tr>
      <w:tr>
        <w:tc>
          <w:tcPr>
            <w:tcW w:type="dxa" w:w="3402"/>
          </w:tcPr>
          <w:p>
            <w:r>
              <w:rPr>
                <w:sz w:val="20"/>
              </w:rPr>
              <w:t>pause_wallet() / unpause_wallet()</w:t>
            </w:r>
          </w:p>
        </w:tc>
        <w:tc>
          <w:tcPr>
            <w:tcW w:type="dxa" w:w="5669"/>
          </w:tcPr>
          <w:p>
            <w:r>
              <w:rPr>
                <w:sz w:val="20"/>
              </w:rPr>
              <w:t>Acil durdurma mekanizması</w:t>
            </w:r>
          </w:p>
        </w:tc>
      </w:tr>
      <w:tr>
        <w:tc>
          <w:tcPr>
            <w:tcW w:type="dxa" w:w="3402"/>
          </w:tcPr>
          <w:p>
            <w:r>
              <w:rPr>
                <w:sz w:val="20"/>
              </w:rPr>
              <w:t>encode_management_call(fn, *args)</w:t>
            </w:r>
          </w:p>
        </w:tc>
        <w:tc>
          <w:tcPr>
            <w:tcW w:type="dxa" w:w="5669"/>
          </w:tcPr>
          <w:p>
            <w:r>
              <w:rPr>
                <w:sz w:val="20"/>
              </w:rPr>
              <w:t>addOwner/removeOwner işlemlerini ABI-encode eder</w:t>
            </w:r>
          </w:p>
        </w:tc>
      </w:tr>
      <w:tr>
        <w:tc>
          <w:tcPr>
            <w:tcW w:type="dxa" w:w="3402"/>
          </w:tcPr>
          <w:p>
            <w:r>
              <w:rPr>
                <w:sz w:val="20"/>
              </w:rPr>
              <w:t>get_paused_status()</w:t>
            </w:r>
          </w:p>
        </w:tc>
        <w:tc>
          <w:tcPr>
            <w:tcW w:type="dxa" w:w="5669"/>
          </w:tcPr>
          <w:p>
            <w:r>
              <w:rPr>
                <w:sz w:val="20"/>
              </w:rPr>
              <w:t>Cüzdanın dondurulup dondurulmadığını döner</w:t>
            </w:r>
          </w:p>
        </w:tc>
      </w:tr>
    </w:tbl>
    <w:p/>
    <w:p>
      <w:r>
        <w:rPr>
          <w:b/>
          <w:sz w:val="24"/>
        </w:rPr>
        <w:t>3.3 Frontend Katmanı (Streamlit Dashboard)</w:t>
      </w:r>
    </w:p>
    <w:p>
      <w:r>
        <w:rPr>
          <w:b w:val="0"/>
          <w:sz w:val="22"/>
        </w:rPr>
        <w:t>Streamlit 1.50.0 ile yazılmış kullanıcı arayüzü; private key ve kontrat adresi ile giriş yapılmasını sağlar. Oturum bilgisi .session.json dosyasına kaydedilir, sayfa yenilendiğinde kullanıcı tekrar giriş yapmak zorunda kalmaz.</w:t>
      </w:r>
    </w:p>
    <w:p>
      <w:pPr>
        <w:pStyle w:val="ListBullet"/>
        <w:ind w:left="283"/>
      </w:pPr>
      <w:r>
        <w:rPr>
          <w:sz w:val="21"/>
        </w:rPr>
        <w:t>Dashboard metrikleri: bakiye, bekleyen işlem sayısı, toplam sahip</w:t>
      </w:r>
    </w:p>
    <w:p>
      <w:pPr>
        <w:pStyle w:val="ListBullet"/>
        <w:ind w:left="283"/>
      </w:pPr>
      <w:r>
        <w:rPr>
          <w:sz w:val="21"/>
        </w:rPr>
        <w:t>Pending Approvals sekmesi: onay durumu pasta grafiği, onay/yürüt butonları</w:t>
      </w:r>
    </w:p>
    <w:p>
      <w:pPr>
        <w:pStyle w:val="ListBullet"/>
        <w:ind w:left="283"/>
      </w:pPr>
      <w:r>
        <w:rPr>
          <w:sz w:val="21"/>
        </w:rPr>
        <w:t>Action Center: yeni transfer önerisi, owner yönetimi (addOwner/removeOwner/replaceOwner/changeThreshold)</w:t>
      </w:r>
    </w:p>
    <w:p>
      <w:pPr>
        <w:pStyle w:val="ListBullet"/>
        <w:ind w:left="283"/>
      </w:pPr>
      <w:r>
        <w:rPr>
          <w:sz w:val="21"/>
        </w:rPr>
        <w:t>Sidebar: aktif hesap gösterimi, Emergency Pause/Unpause butonu, PDF raporu indirme, çıkış</w:t>
      </w:r>
    </w:p>
    <w:p>
      <w:pPr>
        <w:pStyle w:val="ListBullet"/>
        <w:ind w:left="283"/>
      </w:pPr>
      <w:r>
        <w:rPr>
          <w:sz w:val="21"/>
        </w:rPr>
        <w:t>Cüzdan dondurulduğunda tüm action butonları devre dışı kalır</w:t>
      </w:r>
    </w:p>
    <w:p>
      <w:pPr>
        <w:spacing w:before="80" w:after="80"/>
      </w:pPr>
      <w:r>
        <w:rPr>
          <w:color w:val="CCCCCC"/>
          <w:sz w:val="16"/>
        </w:rPr>
        <w:t>────────────────────────────────────────────────────────────────────────────────</w:t>
      </w:r>
    </w:p>
    <w:p>
      <w:pPr>
        <w:pStyle w:val="Heading1"/>
      </w:pPr>
      <w:r>
        <w:t>4. Güvenlik Mekanizmaları ve Saldırı Vektörleri</w:t>
      </w:r>
    </w:p>
    <w:p>
      <w:r>
        <w:rPr>
          <w:b w:val="0"/>
          <w:sz w:val="22"/>
        </w:rPr>
        <w:t>Proposal'da tanımlanan 5 saldırı vektörünün tamamına karşı önlem alınmıştır.</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fill="1F3A5F" w:color="FFFFFF" w:val="clear"/>
          </w:tcPr>
          <w:p>
            <w:pPr>
              <w:jc w:val="center"/>
            </w:pPr>
            <w:r>
              <w:rPr>
                <w:b/>
                <w:color w:val="FFFFFF"/>
                <w:sz w:val="20"/>
              </w:rPr>
              <w:t>Saldırı Vektörü</w:t>
            </w:r>
          </w:p>
        </w:tc>
        <w:tc>
          <w:tcPr>
            <w:tcW w:type="dxa" w:w="2268"/>
            <w:shd w:fill="1F3A5F" w:color="FFFFFF" w:val="clear"/>
          </w:tcPr>
          <w:p>
            <w:pPr>
              <w:jc w:val="center"/>
            </w:pPr>
            <w:r>
              <w:rPr>
                <w:b/>
                <w:color w:val="FFFFFF"/>
                <w:sz w:val="20"/>
              </w:rPr>
              <w:t>Tehdit</w:t>
            </w:r>
          </w:p>
        </w:tc>
        <w:tc>
          <w:tcPr>
            <w:tcW w:type="dxa" w:w="2835"/>
            <w:shd w:fill="1F3A5F" w:color="FFFFFF" w:val="clear"/>
          </w:tcPr>
          <w:p>
            <w:pPr>
              <w:jc w:val="center"/>
            </w:pPr>
            <w:r>
              <w:rPr>
                <w:b/>
                <w:color w:val="FFFFFF"/>
                <w:sz w:val="20"/>
              </w:rPr>
              <w:t>Uygulanan Önlem</w:t>
            </w:r>
          </w:p>
        </w:tc>
        <w:tc>
          <w:tcPr>
            <w:tcW w:type="dxa" w:w="1984"/>
            <w:shd w:fill="1F3A5F" w:color="FFFFFF" w:val="clear"/>
          </w:tcPr>
          <w:p>
            <w:pPr>
              <w:jc w:val="center"/>
            </w:pPr>
            <w:r>
              <w:rPr>
                <w:b/>
                <w:color w:val="FFFFFF"/>
                <w:sz w:val="20"/>
              </w:rPr>
              <w:t>Test</w:t>
            </w:r>
          </w:p>
        </w:tc>
      </w:tr>
      <w:tr>
        <w:tc>
          <w:tcPr>
            <w:tcW w:type="dxa" w:w="1984"/>
          </w:tcPr>
          <w:p>
            <w:r>
              <w:rPr>
                <w:sz w:val="20"/>
              </w:rPr>
              <w:t>Signature Replay</w:t>
            </w:r>
          </w:p>
        </w:tc>
        <w:tc>
          <w:tcPr>
            <w:tcW w:type="dxa" w:w="2268"/>
          </w:tcPr>
          <w:p>
            <w:r>
              <w:rPr>
                <w:sz w:val="20"/>
              </w:rPr>
              <w:t>Geçmiş bir imzanın farklı TX için tekrar kullanılması</w:t>
            </w:r>
          </w:p>
        </w:tc>
        <w:tc>
          <w:tcPr>
            <w:tcW w:type="dxa" w:w="2835"/>
          </w:tcPr>
          <w:p>
            <w:r>
              <w:rPr>
                <w:sz w:val="20"/>
              </w:rPr>
              <w:t>Her TX'e benzersiz txIndex atanır; kontrat adresi ve chainId (EIP-155) hash'e dahil edilir</w:t>
            </w:r>
          </w:p>
        </w:tc>
        <w:tc>
          <w:tcPr>
            <w:tcW w:type="dxa" w:w="1984"/>
          </w:tcPr>
          <w:p>
            <w:r>
              <w:rPr>
                <w:sz w:val="20"/>
              </w:rPr>
              <w:t>test_replay_attack_tx0_approval_does_not_apply_to_tx1</w:t>
            </w:r>
          </w:p>
        </w:tc>
      </w:tr>
      <w:tr>
        <w:tc>
          <w:tcPr>
            <w:tcW w:type="dxa" w:w="1984"/>
          </w:tcPr>
          <w:p>
            <w:r>
              <w:rPr>
                <w:sz w:val="20"/>
              </w:rPr>
              <w:t>Reentrancy (Tekrar Giriş)</w:t>
            </w:r>
          </w:p>
        </w:tc>
        <w:tc>
          <w:tcPr>
            <w:tcW w:type="dxa" w:w="2268"/>
          </w:tcPr>
          <w:p>
            <w:r>
              <w:rPr>
                <w:sz w:val="20"/>
              </w:rPr>
              <w:t>Dış kontratın para çekerken tekrar withdraw çağırması</w:t>
            </w:r>
          </w:p>
        </w:tc>
        <w:tc>
          <w:tcPr>
            <w:tcW w:type="dxa" w:w="2835"/>
          </w:tcPr>
          <w:p>
            <w:r>
              <w:rPr>
                <w:sz w:val="20"/>
              </w:rPr>
              <w:t>CEI (Checks-Effects-Interactions) pattern + OpenZeppelin ReentrancyGuard mutex kilidi</w:t>
            </w:r>
          </w:p>
        </w:tc>
        <w:tc>
          <w:tcPr>
            <w:tcW w:type="dxa" w:w="1984"/>
          </w:tcPr>
          <w:p>
            <w:r>
              <w:rPr>
                <w:sz w:val="20"/>
              </w:rPr>
              <w:t>test_reentrancy_guard_executed_flag</w:t>
            </w:r>
          </w:p>
        </w:tc>
      </w:tr>
      <w:tr>
        <w:tc>
          <w:tcPr>
            <w:tcW w:type="dxa" w:w="1984"/>
          </w:tcPr>
          <w:p>
            <w:r>
              <w:rPr>
                <w:sz w:val="20"/>
              </w:rPr>
              <w:t>Front-Running / MEV</w:t>
            </w:r>
          </w:p>
        </w:tc>
        <w:tc>
          <w:tcPr>
            <w:tcW w:type="dxa" w:w="2268"/>
          </w:tcPr>
          <w:p>
            <w:r>
              <w:rPr>
                <w:sz w:val="20"/>
              </w:rPr>
              <w:t>Mempool'daki TX'i gören bots'un öne geçmesi</w:t>
            </w:r>
          </w:p>
        </w:tc>
        <w:tc>
          <w:tcPr>
            <w:tcW w:type="dxa" w:w="2835"/>
          </w:tcPr>
          <w:p>
            <w:r>
              <w:rPr>
                <w:sz w:val="20"/>
              </w:rPr>
              <w:t>Time-lock mekanizması — onaydan sonra bekleme süresi zorunlu; changeTimeLockDuration ile ayarlanabilir</w:t>
            </w:r>
          </w:p>
        </w:tc>
        <w:tc>
          <w:tcPr>
            <w:tcW w:type="dxa" w:w="1984"/>
          </w:tcPr>
          <w:p>
            <w:r>
              <w:rPr>
                <w:sz w:val="20"/>
              </w:rPr>
              <w:t>Kontrat seviyesinde doğrulandı</w:t>
            </w:r>
          </w:p>
        </w:tc>
      </w:tr>
      <w:tr>
        <w:tc>
          <w:tcPr>
            <w:tcW w:type="dxa" w:w="1984"/>
          </w:tcPr>
          <w:p>
            <w:r>
              <w:rPr>
                <w:sz w:val="20"/>
              </w:rPr>
              <w:t>Social Engineering</w:t>
            </w:r>
          </w:p>
        </w:tc>
        <w:tc>
          <w:tcPr>
            <w:tcW w:type="dxa" w:w="2268"/>
          </w:tcPr>
          <w:p>
            <w:r>
              <w:rPr>
                <w:sz w:val="20"/>
              </w:rPr>
              <w:t>Sahte arayüz ile yanlış TX onaylatma</w:t>
            </w:r>
          </w:p>
        </w:tc>
        <w:tc>
          <w:tcPr>
            <w:tcW w:type="dxa" w:w="2835"/>
          </w:tcPr>
          <w:p>
            <w:r>
              <w:rPr>
                <w:sz w:val="20"/>
              </w:rPr>
              <w:t>Private key ile doğrudan kontrat imzalama, TX detayları arayüzde gösterilir</w:t>
            </w:r>
          </w:p>
        </w:tc>
        <w:tc>
          <w:tcPr>
            <w:tcW w:type="dxa" w:w="1984"/>
          </w:tcPr>
          <w:p>
            <w:r>
              <w:rPr>
                <w:sz w:val="20"/>
              </w:rPr>
              <w:t>Manuel doğrulama</w:t>
            </w:r>
          </w:p>
        </w:tc>
      </w:tr>
      <w:tr>
        <w:tc>
          <w:tcPr>
            <w:tcW w:type="dxa" w:w="1984"/>
          </w:tcPr>
          <w:p>
            <w:r>
              <w:rPr>
                <w:sz w:val="20"/>
              </w:rPr>
              <w:t>Quorum Manipulation</w:t>
            </w:r>
          </w:p>
        </w:tc>
        <w:tc>
          <w:tcPr>
            <w:tcW w:type="dxa" w:w="2268"/>
          </w:tcPr>
          <w:p>
            <w:r>
              <w:rPr>
                <w:sz w:val="20"/>
              </w:rPr>
              <w:t>Sahiplerin anlaşarak threshold'u düşürmesi</w:t>
            </w:r>
          </w:p>
        </w:tc>
        <w:tc>
          <w:tcPr>
            <w:tcW w:type="dxa" w:w="2835"/>
          </w:tcPr>
          <w:p>
            <w:r>
              <w:rPr>
                <w:sz w:val="20"/>
              </w:rPr>
              <w:t>Threshold değişikliği sadece onlyWallet modifier'ı ile çalışır — mevcut M imzası gerektirir</w:t>
            </w:r>
          </w:p>
        </w:tc>
        <w:tc>
          <w:tcPr>
            <w:tcW w:type="dxa" w:w="1984"/>
          </w:tcPr>
          <w:p>
            <w:r>
              <w:rPr>
                <w:sz w:val="20"/>
              </w:rPr>
              <w:t>test_unauthorized_execute_fails</w:t>
            </w:r>
          </w:p>
        </w:tc>
      </w:tr>
      <w:tr>
        <w:tc>
          <w:tcPr>
            <w:tcW w:type="dxa" w:w="1984"/>
          </w:tcPr>
          <w:p>
            <w:r>
              <w:rPr>
                <w:sz w:val="20"/>
              </w:rPr>
              <w:t>Emergency Pause</w:t>
            </w:r>
          </w:p>
        </w:tc>
        <w:tc>
          <w:tcPr>
            <w:tcW w:type="dxa" w:w="2268"/>
          </w:tcPr>
          <w:p>
            <w:r>
              <w:rPr>
                <w:sz w:val="20"/>
              </w:rPr>
              <w:t>Açık keşfedildiğinde işlemlerin durdurulması gerekebilir</w:t>
            </w:r>
          </w:p>
        </w:tc>
        <w:tc>
          <w:tcPr>
            <w:tcW w:type="dxa" w:w="2835"/>
          </w:tcPr>
          <w:p>
            <w:r>
              <w:rPr>
                <w:sz w:val="20"/>
              </w:rPr>
              <w:t>pause()/unpause() fonksiyonları; whenNotPaused modifier tüm TX fonksiyonlarında</w:t>
            </w:r>
          </w:p>
        </w:tc>
        <w:tc>
          <w:tcPr>
            <w:tcW w:type="dxa" w:w="1984"/>
          </w:tcPr>
          <w:p>
            <w:r>
              <w:rPr>
                <w:sz w:val="20"/>
              </w:rPr>
              <w:t>TestEmergencyPause sınıfı (4 test)</w:t>
            </w:r>
          </w:p>
        </w:tc>
      </w:tr>
    </w:tbl>
    <w:p/>
    <w:p>
      <w:r>
        <w:rPr>
          <w:b/>
          <w:sz w:val="22"/>
        </w:rPr>
        <w:t>4.1 OpenZeppelin ReentrancyGuard — Nasıl Çalışır?</w:t>
      </w:r>
    </w:p>
    <w:p>
      <w:r>
        <w:rPr>
          <w:b w:val="0"/>
          <w:sz w:val="22"/>
        </w:rPr>
        <w:t>executeTransaction çağrıldığında önce executed bayrağı true yapılır, ardından ETH transferi gerçekleşir. Kötü niyetli bir kontrat receive() fonksiyonundan tekrar executeTransaction çağırsa dahi executed == true kontrolü bunu reddeder. ReentrancyGuard ek olarak nonReentrant modifier ile fonksiyon girişinde kilit koyar.</w:t>
      </w:r>
    </w:p>
    <w:p>
      <w:r>
        <w:rPr>
          <w:b/>
          <w:sz w:val="22"/>
        </w:rPr>
        <w:t>4.2 EIP-155 Replay Koruması — Nasıl Çalışır?</w:t>
      </w:r>
    </w:p>
    <w:p>
      <w:r>
        <w:rPr>
          <w:b w:val="0"/>
          <w:sz w:val="22"/>
        </w:rPr>
        <w:t>Her işlem kendi txIndex numarasını taşır. TX0'a verilen onay yalnızca TX0 için geçerlidir; TX1'e geçmez. Ayrıca DOMAIN_SEPARATOR içinde kontrat adresi ve chainId (11155111) yer alır; başka bir zincirde veya başka bir kontrat adresinde imza geçersiz sayılır.</w:t>
      </w:r>
    </w:p>
    <w:p>
      <w:pPr>
        <w:spacing w:before="80" w:after="80"/>
      </w:pPr>
      <w:r>
        <w:rPr>
          <w:color w:val="CCCCCC"/>
          <w:sz w:val="16"/>
        </w:rPr>
        <w:t>────────────────────────────────────────────────────────────────────────────────</w:t>
      </w:r>
    </w:p>
    <w:p>
      <w:pPr>
        <w:pStyle w:val="Heading1"/>
      </w:pPr>
      <w:r>
        <w:t>5. Statik Analiz — Slither</w:t>
      </w:r>
    </w:p>
    <w:p>
      <w:r>
        <w:rPr>
          <w:b w:val="0"/>
          <w:sz w:val="22"/>
        </w:rPr>
        <w:t>Slither v0.11.4 ile 5 kontrat, 100 dedektör kullanılarak analiz edilmiştir. Hiçbir kritik (Critical) veya yüksek (High) seviyeli güvenlik açığı bulunamamıştır.</w:t>
      </w:r>
    </w:p>
    <w:p>
      <w:pPr>
        <w:spacing w:before="40" w:after="40"/>
        <w:ind w:left="567"/>
      </w:pPr>
      <w:r>
        <w:rPr>
          <w:rFonts w:ascii="Courier New" w:hAnsi="Courier New"/>
          <w:color w:val="1A1A2E"/>
          <w:sz w:val="18"/>
        </w:rPr>
        <w:t>Komut: slither contracts/MultiSigWallet.sol --solc-remaps "@openzeppelin/contracts/=node_modules/@openzeppelin/contracts/"</w:t>
      </w:r>
    </w:p>
    <w:p>
      <w:pPr>
        <w:spacing w:before="40" w:after="40"/>
        <w:ind w:left="567"/>
      </w:pPr>
      <w:r>
        <w:rPr>
          <w:rFonts w:ascii="Courier New" w:hAnsi="Courier New"/>
          <w:color w:val="1A1A2E"/>
          <w:sz w:val="18"/>
        </w:rPr>
        <w:t>Sonuc: 5 contracts with 100 detectors — 28 result(s) found</w:t>
      </w:r>
    </w:p>
    <w:p>
      <w:pPr>
        <w:spacing w:before="40" w:after="40"/>
        <w:ind w:left="567"/>
      </w:pPr>
      <w:r>
        <w:rPr>
          <w:rFonts w:ascii="Courier New" w:hAnsi="Courier New"/>
          <w:color w:val="1A1A2E"/>
          <w:sz w:val="18"/>
        </w:rPr>
        <w:t>Critical: 0  |  High: 0  |  Medium: 0</w:t>
      </w:r>
    </w:p>
    <w:p/>
    <w:tbl>
      <w:tblPr>
        <w:tblStyle w:val="TableGrid"/>
        <w:tblW w:type="auto" w:w="0"/>
        <w:tblLook w:firstColumn="1" w:firstRow="1" w:lastColumn="0" w:lastRow="0" w:noHBand="0" w:noVBand="1" w:val="04A0"/>
      </w:tblPr>
      <w:tblGrid>
        <w:gridCol w:w="2280"/>
        <w:gridCol w:w="2280"/>
        <w:gridCol w:w="2280"/>
        <w:gridCol w:w="2280"/>
      </w:tblGrid>
      <w:tr>
        <w:tc>
          <w:tcPr>
            <w:tcW w:type="dxa" w:w="1984"/>
            <w:shd w:fill="1F3A5F" w:color="FFFFFF" w:val="clear"/>
          </w:tcPr>
          <w:p>
            <w:pPr>
              <w:jc w:val="center"/>
            </w:pPr>
            <w:r>
              <w:rPr>
                <w:b/>
                <w:color w:val="FFFFFF"/>
                <w:sz w:val="20"/>
              </w:rPr>
              <w:t>Bulgu Türü</w:t>
            </w:r>
          </w:p>
        </w:tc>
        <w:tc>
          <w:tcPr>
            <w:tcW w:type="dxa" w:w="2268"/>
            <w:shd w:fill="1F3A5F" w:color="FFFFFF" w:val="clear"/>
          </w:tcPr>
          <w:p>
            <w:pPr>
              <w:jc w:val="center"/>
            </w:pPr>
            <w:r>
              <w:rPr>
                <w:b/>
                <w:color w:val="FFFFFF"/>
                <w:sz w:val="20"/>
              </w:rPr>
              <w:t>Nerede</w:t>
            </w:r>
          </w:p>
        </w:tc>
        <w:tc>
          <w:tcPr>
            <w:tcW w:type="dxa" w:w="4252"/>
            <w:shd w:fill="1F3A5F" w:color="FFFFFF" w:val="clear"/>
          </w:tcPr>
          <w:p>
            <w:pPr>
              <w:jc w:val="center"/>
            </w:pPr>
            <w:r>
              <w:rPr>
                <w:b/>
                <w:color w:val="FFFFFF"/>
                <w:sz w:val="20"/>
              </w:rPr>
              <w:t>Açıklama</w:t>
            </w:r>
          </w:p>
        </w:tc>
        <w:tc>
          <w:tcPr>
            <w:tcW w:type="dxa" w:w="1417"/>
            <w:shd w:fill="1F3A5F" w:color="FFFFFF" w:val="clear"/>
          </w:tcPr>
          <w:p>
            <w:pPr>
              <w:jc w:val="center"/>
            </w:pPr>
            <w:r>
              <w:rPr>
                <w:b/>
                <w:color w:val="FFFFFF"/>
                <w:sz w:val="20"/>
              </w:rPr>
              <w:t>Önem</w:t>
            </w:r>
          </w:p>
        </w:tc>
      </w:tr>
      <w:tr>
        <w:tc>
          <w:tcPr>
            <w:tcW w:type="dxa" w:w="1984"/>
          </w:tcPr>
          <w:p>
            <w:r>
              <w:rPr>
                <w:sz w:val="20"/>
              </w:rPr>
              <w:t>assembly</w:t>
            </w:r>
          </w:p>
        </w:tc>
        <w:tc>
          <w:tcPr>
            <w:tcW w:type="dxa" w:w="2268"/>
          </w:tcPr>
          <w:p>
            <w:r>
              <w:rPr>
                <w:sz w:val="20"/>
              </w:rPr>
              <w:t>OpenZeppelin StorageSlot.sol</w:t>
            </w:r>
          </w:p>
        </w:tc>
        <w:tc>
          <w:tcPr>
            <w:tcW w:type="dxa" w:w="4252"/>
          </w:tcPr>
          <w:p>
            <w:r>
              <w:rPr>
                <w:sz w:val="20"/>
              </w:rPr>
              <w:t>OZ kütüphanesi iç assembly — bizim kodumuzdaki değil</w:t>
            </w:r>
          </w:p>
        </w:tc>
        <w:tc>
          <w:tcPr>
            <w:tcW w:type="dxa" w:w="1417"/>
          </w:tcPr>
          <w:p>
            <w:r>
              <w:rPr>
                <w:sz w:val="20"/>
              </w:rPr>
              <w:t>Informational</w:t>
            </w:r>
          </w:p>
        </w:tc>
      </w:tr>
      <w:tr>
        <w:tc>
          <w:tcPr>
            <w:tcW w:type="dxa" w:w="1984"/>
          </w:tcPr>
          <w:p>
            <w:r>
              <w:rPr>
                <w:sz w:val="20"/>
              </w:rPr>
              <w:t>pragma</w:t>
            </w:r>
          </w:p>
        </w:tc>
        <w:tc>
          <w:tcPr>
            <w:tcW w:type="dxa" w:w="2268"/>
          </w:tcPr>
          <w:p>
            <w:r>
              <w:rPr>
                <w:sz w:val="20"/>
              </w:rPr>
              <w:t>OZ vs kontratlarımız</w:t>
            </w:r>
          </w:p>
        </w:tc>
        <w:tc>
          <w:tcPr>
            <w:tcW w:type="dxa" w:w="4252"/>
          </w:tcPr>
          <w:p>
            <w:r>
              <w:rPr>
                <w:sz w:val="20"/>
              </w:rPr>
              <w:t>OZ ^0.8.20 kullanıyor, bizim 0.8.20 — zararsız</w:t>
            </w:r>
          </w:p>
        </w:tc>
        <w:tc>
          <w:tcPr>
            <w:tcW w:type="dxa" w:w="1417"/>
          </w:tcPr>
          <w:p>
            <w:r>
              <w:rPr>
                <w:sz w:val="20"/>
              </w:rPr>
              <w:t>Low</w:t>
            </w:r>
          </w:p>
        </w:tc>
      </w:tr>
      <w:tr>
        <w:tc>
          <w:tcPr>
            <w:tcW w:type="dxa" w:w="1984"/>
          </w:tcPr>
          <w:p>
            <w:r>
              <w:rPr>
                <w:sz w:val="20"/>
              </w:rPr>
              <w:t>solc-version</w:t>
            </w:r>
          </w:p>
        </w:tc>
        <w:tc>
          <w:tcPr>
            <w:tcW w:type="dxa" w:w="2268"/>
          </w:tcPr>
          <w:p>
            <w:r>
              <w:rPr>
                <w:sz w:val="20"/>
              </w:rPr>
              <w:t>Tüm kontratlar</w:t>
            </w:r>
          </w:p>
        </w:tc>
        <w:tc>
          <w:tcPr>
            <w:tcW w:type="dxa" w:w="4252"/>
          </w:tcPr>
          <w:p>
            <w:r>
              <w:rPr>
                <w:sz w:val="20"/>
              </w:rPr>
              <w:t>0.8.20'de bilinen küçük bug'lar (VerbatimInvalidDeduplication vb.) — pratikte etkisiz</w:t>
            </w:r>
          </w:p>
        </w:tc>
        <w:tc>
          <w:tcPr>
            <w:tcW w:type="dxa" w:w="1417"/>
          </w:tcPr>
          <w:p>
            <w:r>
              <w:rPr>
                <w:sz w:val="20"/>
              </w:rPr>
              <w:t>Low</w:t>
            </w:r>
          </w:p>
        </w:tc>
      </w:tr>
      <w:tr>
        <w:tc>
          <w:tcPr>
            <w:tcW w:type="dxa" w:w="1984"/>
          </w:tcPr>
          <w:p>
            <w:r>
              <w:rPr>
                <w:sz w:val="20"/>
              </w:rPr>
              <w:t>low-level-calls</w:t>
            </w:r>
          </w:p>
        </w:tc>
        <w:tc>
          <w:tcPr>
            <w:tcW w:type="dxa" w:w="2268"/>
          </w:tcPr>
          <w:p>
            <w:r>
              <w:rPr>
                <w:sz w:val="20"/>
              </w:rPr>
              <w:t>executeTransaction()</w:t>
            </w:r>
          </w:p>
        </w:tc>
        <w:tc>
          <w:tcPr>
            <w:tcW w:type="dxa" w:w="4252"/>
          </w:tcPr>
          <w:p>
            <w:r>
              <w:rPr>
                <w:sz w:val="20"/>
              </w:rPr>
              <w:t>.call{value}() kullanımı — multi-sig için beklenen, CEI+Guard ile korunuyor</w:t>
            </w:r>
          </w:p>
        </w:tc>
        <w:tc>
          <w:tcPr>
            <w:tcW w:type="dxa" w:w="1417"/>
          </w:tcPr>
          <w:p>
            <w:r>
              <w:rPr>
                <w:sz w:val="20"/>
              </w:rPr>
              <w:t>Informational</w:t>
            </w:r>
          </w:p>
        </w:tc>
      </w:tr>
      <w:tr>
        <w:tc>
          <w:tcPr>
            <w:tcW w:type="dxa" w:w="1984"/>
          </w:tcPr>
          <w:p>
            <w:r>
              <w:rPr>
                <w:sz w:val="20"/>
              </w:rPr>
              <w:t>naming-convention</w:t>
            </w:r>
          </w:p>
        </w:tc>
        <w:tc>
          <w:tcPr>
            <w:tcW w:type="dxa" w:w="2268"/>
          </w:tcPr>
          <w:p>
            <w:r>
              <w:rPr>
                <w:sz w:val="20"/>
              </w:rPr>
              <w:t>Tüm parametreler</w:t>
            </w:r>
          </w:p>
        </w:tc>
        <w:tc>
          <w:tcPr>
            <w:tcW w:type="dxa" w:w="4252"/>
          </w:tcPr>
          <w:p>
            <w:r>
              <w:rPr>
                <w:sz w:val="20"/>
              </w:rPr>
              <w:t>_to, _value gibi underscore prefix — stil sorunu, güvenlik değil</w:t>
            </w:r>
          </w:p>
        </w:tc>
        <w:tc>
          <w:tcPr>
            <w:tcW w:type="dxa" w:w="1417"/>
          </w:tcPr>
          <w:p>
            <w:r>
              <w:rPr>
                <w:sz w:val="20"/>
              </w:rPr>
              <w:t>Informational</w:t>
            </w:r>
          </w:p>
        </w:tc>
      </w:tr>
    </w:tbl>
    <w:p>
      <w:pPr>
        <w:spacing w:before="80" w:after="80"/>
      </w:pPr>
      <w:r>
        <w:rPr>
          <w:color w:val="CCCCCC"/>
          <w:sz w:val="16"/>
        </w:rPr>
        <w:t>────────────────────────────────────────────────────────────────────────────────</w:t>
      </w:r>
    </w:p>
    <w:p>
      <w:pPr>
        <w:pStyle w:val="Heading1"/>
      </w:pPr>
      <w:r>
        <w:t>6. Test Sonuçları — 33/33 PASSED</w:t>
      </w:r>
    </w:p>
    <w:p>
      <w:r>
        <w:rPr>
          <w:b w:val="0"/>
          <w:sz w:val="22"/>
        </w:rPr>
        <w:t>Hardhat local node üzerinde çalıştırılan pytest test paketi, her test için bağımsız bir kontrat deploy edip 1 ETH yüklemektedir. 33 testin tamamı geçmektedir.</w:t>
      </w:r>
    </w:p>
    <w:p>
      <w:pPr>
        <w:spacing w:before="40" w:after="40"/>
        <w:ind w:left="567"/>
      </w:pPr>
      <w:r>
        <w:rPr>
          <w:rFonts w:ascii="Courier New" w:hAnsi="Courier New"/>
          <w:color w:val="1A1A2E"/>
          <w:sz w:val="18"/>
        </w:rPr>
        <w:t>Calistirma: npx hardhat node  (Terminal 1)</w:t>
      </w:r>
    </w:p>
    <w:p>
      <w:pPr>
        <w:spacing w:before="40" w:after="40"/>
        <w:ind w:left="567"/>
      </w:pPr>
      <w:r>
        <w:rPr>
          <w:rFonts w:ascii="Courier New" w:hAnsi="Courier New"/>
          <w:color w:val="1A1A2E"/>
          <w:sz w:val="18"/>
        </w:rPr>
        <w:t xml:space="preserve">             python -m pytest test/test_multisig.py -v  (Terminal 2)</w:t>
      </w:r>
    </w:p>
    <w:p>
      <w:pPr>
        <w:spacing w:before="40" w:after="40"/>
        <w:ind w:left="567"/>
      </w:pPr>
      <w:r>
        <w:rPr>
          <w:rFonts w:ascii="Courier New" w:hAnsi="Courier New"/>
          <w:color w:val="1A1A2E"/>
          <w:sz w:val="18"/>
        </w:rPr>
        <w:t>Sonuc: 33 passed in 3.55s</w:t>
      </w:r>
    </w:p>
    <w:p/>
    <w:tbl>
      <w:tblPr>
        <w:tblStyle w:val="TableGrid"/>
        <w:tblW w:type="auto" w:w="0"/>
        <w:tblLook w:firstColumn="1" w:firstRow="1" w:lastColumn="0" w:lastRow="0" w:noHBand="0" w:noVBand="1" w:val="04A0"/>
      </w:tblPr>
      <w:tblGrid>
        <w:gridCol w:w="3041"/>
        <w:gridCol w:w="3041"/>
        <w:gridCol w:w="3041"/>
      </w:tblGrid>
      <w:tr>
        <w:tc>
          <w:tcPr>
            <w:tcW w:type="dxa" w:w="2551"/>
            <w:shd w:fill="1F3A5F" w:color="FFFFFF" w:val="clear"/>
          </w:tcPr>
          <w:p>
            <w:pPr>
              <w:jc w:val="center"/>
            </w:pPr>
            <w:r>
              <w:rPr>
                <w:b/>
                <w:color w:val="FFFFFF"/>
                <w:sz w:val="20"/>
              </w:rPr>
              <w:t>Test Sınıfı</w:t>
            </w:r>
          </w:p>
        </w:tc>
        <w:tc>
          <w:tcPr>
            <w:tcW w:type="dxa" w:w="1134"/>
            <w:shd w:fill="1F3A5F" w:color="FFFFFF" w:val="clear"/>
          </w:tcPr>
          <w:p>
            <w:pPr>
              <w:jc w:val="center"/>
            </w:pPr>
            <w:r>
              <w:rPr>
                <w:b/>
                <w:color w:val="FFFFFF"/>
                <w:sz w:val="20"/>
              </w:rPr>
              <w:t>Test Sayısı</w:t>
            </w:r>
          </w:p>
        </w:tc>
        <w:tc>
          <w:tcPr>
            <w:tcW w:type="dxa" w:w="5386"/>
            <w:shd w:fill="1F3A5F" w:color="FFFFFF" w:val="clear"/>
          </w:tcPr>
          <w:p>
            <w:pPr>
              <w:jc w:val="center"/>
            </w:pPr>
            <w:r>
              <w:rPr>
                <w:b/>
                <w:color w:val="FFFFFF"/>
                <w:sz w:val="20"/>
              </w:rPr>
              <w:t>Ne Test Eder</w:t>
            </w:r>
          </w:p>
        </w:tc>
      </w:tr>
      <w:tr>
        <w:tc>
          <w:tcPr>
            <w:tcW w:type="dxa" w:w="2551"/>
          </w:tcPr>
          <w:p>
            <w:r>
              <w:rPr>
                <w:sz w:val="20"/>
              </w:rPr>
              <w:t>TestDeploy</w:t>
            </w:r>
          </w:p>
        </w:tc>
        <w:tc>
          <w:tcPr>
            <w:tcW w:type="dxa" w:w="1134"/>
          </w:tcPr>
          <w:p>
            <w:r>
              <w:rPr>
                <w:sz w:val="20"/>
              </w:rPr>
              <w:t>7</w:t>
            </w:r>
          </w:p>
        </w:tc>
        <w:tc>
          <w:tcPr>
            <w:tcW w:type="dxa" w:w="5386"/>
          </w:tcPr>
          <w:p>
            <w:r>
              <w:rPr>
                <w:sz w:val="20"/>
              </w:rPr>
              <w:t>Doğru owner listesi, threshold, bakiye; boş/hatalı parametrelerle deploy reddi, duplicate owner reddi</w:t>
            </w:r>
          </w:p>
        </w:tc>
      </w:tr>
      <w:tr>
        <w:tc>
          <w:tcPr>
            <w:tcW w:type="dxa" w:w="2551"/>
          </w:tcPr>
          <w:p>
            <w:r>
              <w:rPr>
                <w:sz w:val="20"/>
              </w:rPr>
              <w:t>TestSubmitTransaction</w:t>
            </w:r>
          </w:p>
        </w:tc>
        <w:tc>
          <w:tcPr>
            <w:tcW w:type="dxa" w:w="1134"/>
          </w:tcPr>
          <w:p>
            <w:r>
              <w:rPr>
                <w:sz w:val="20"/>
              </w:rPr>
              <w:t>4</w:t>
            </w:r>
          </w:p>
        </w:tc>
        <w:tc>
          <w:tcPr>
            <w:tcW w:type="dxa" w:w="5386"/>
          </w:tcPr>
          <w:p>
            <w:r>
              <w:rPr>
                <w:sz w:val="20"/>
              </w:rPr>
              <w:t>Owner TX önerebilir, non-owner öneremez, TX sayısı artar, SubmitTransaction eventi yayınlanır</w:t>
            </w:r>
          </w:p>
        </w:tc>
      </w:tr>
      <w:tr>
        <w:tc>
          <w:tcPr>
            <w:tcW w:type="dxa" w:w="2551"/>
          </w:tcPr>
          <w:p>
            <w:r>
              <w:rPr>
                <w:sz w:val="20"/>
              </w:rPr>
              <w:t>TestConfirmTransaction</w:t>
            </w:r>
          </w:p>
        </w:tc>
        <w:tc>
          <w:tcPr>
            <w:tcW w:type="dxa" w:w="1134"/>
          </w:tcPr>
          <w:p>
            <w:r>
              <w:rPr>
                <w:sz w:val="20"/>
              </w:rPr>
              <w:t>5</w:t>
            </w:r>
          </w:p>
        </w:tc>
        <w:tc>
          <w:tcPr>
            <w:tcW w:type="dxa" w:w="5386"/>
          </w:tcPr>
          <w:p>
            <w:r>
              <w:rPr>
                <w:sz w:val="20"/>
              </w:rPr>
              <w:t>Owner onay verebilir, non-owner veremez, çift onay reddedilir, geçersiz TX reddedilir, onay sayısı artar</w:t>
            </w:r>
          </w:p>
        </w:tc>
      </w:tr>
      <w:tr>
        <w:tc>
          <w:tcPr>
            <w:tcW w:type="dxa" w:w="2551"/>
          </w:tcPr>
          <w:p>
            <w:r>
              <w:rPr>
                <w:sz w:val="20"/>
              </w:rPr>
              <w:t>TestExecuteTransaction</w:t>
            </w:r>
          </w:p>
        </w:tc>
        <w:tc>
          <w:tcPr>
            <w:tcW w:type="dxa" w:w="1134"/>
          </w:tcPr>
          <w:p>
            <w:r>
              <w:rPr>
                <w:sz w:val="20"/>
              </w:rPr>
              <w:t>5</w:t>
            </w:r>
          </w:p>
        </w:tc>
        <w:tc>
          <w:tcPr>
            <w:tcW w:type="dxa" w:w="5386"/>
          </w:tcPr>
          <w:p>
            <w:r>
              <w:rPr>
                <w:sz w:val="20"/>
              </w:rPr>
              <w:t>Yeterli onayda execute başarılı, alıcı ETH alır, çift execute reddedilir, yetersiz onayda reddedilir, executed=true</w:t>
            </w:r>
          </w:p>
        </w:tc>
      </w:tr>
      <w:tr>
        <w:tc>
          <w:tcPr>
            <w:tcW w:type="dxa" w:w="2551"/>
          </w:tcPr>
          <w:p>
            <w:r>
              <w:rPr>
                <w:sz w:val="20"/>
              </w:rPr>
              <w:t>TestRevokeConfirmation</w:t>
            </w:r>
          </w:p>
        </w:tc>
        <w:tc>
          <w:tcPr>
            <w:tcW w:type="dxa" w:w="1134"/>
          </w:tcPr>
          <w:p>
            <w:r>
              <w:rPr>
                <w:sz w:val="20"/>
              </w:rPr>
              <w:t>4</w:t>
            </w:r>
          </w:p>
        </w:tc>
        <w:tc>
          <w:tcPr>
            <w:tcW w:type="dxa" w:w="5386"/>
          </w:tcPr>
          <w:p>
            <w:r>
              <w:rPr>
                <w:sz w:val="20"/>
              </w:rPr>
              <w:t>Owner revoke edebilir, onay vermemiş owner edemez, revoke sonrası execute reddedilir, sayı azalır</w:t>
            </w:r>
          </w:p>
        </w:tc>
      </w:tr>
      <w:tr>
        <w:tc>
          <w:tcPr>
            <w:tcW w:type="dxa" w:w="2551"/>
          </w:tcPr>
          <w:p>
            <w:r>
              <w:rPr>
                <w:sz w:val="20"/>
              </w:rPr>
              <w:t>TestSecurityAttacks</w:t>
            </w:r>
          </w:p>
        </w:tc>
        <w:tc>
          <w:tcPr>
            <w:tcW w:type="dxa" w:w="1134"/>
          </w:tcPr>
          <w:p>
            <w:r>
              <w:rPr>
                <w:sz w:val="20"/>
              </w:rPr>
              <w:t>4</w:t>
            </w:r>
          </w:p>
        </w:tc>
        <w:tc>
          <w:tcPr>
            <w:tcW w:type="dxa" w:w="5386"/>
          </w:tcPr>
          <w:p>
            <w:r>
              <w:rPr>
                <w:sz w:val="20"/>
              </w:rPr>
              <w:t>Replay koruması, yetkisiz execute reddi, reentrancy guard (executed flag), deposit bakiye artışı</w:t>
            </w:r>
          </w:p>
        </w:tc>
      </w:tr>
      <w:tr>
        <w:tc>
          <w:tcPr>
            <w:tcW w:type="dxa" w:w="2551"/>
          </w:tcPr>
          <w:p>
            <w:r>
              <w:rPr>
                <w:sz w:val="20"/>
              </w:rPr>
              <w:t>TestEmergencyPause</w:t>
            </w:r>
          </w:p>
        </w:tc>
        <w:tc>
          <w:tcPr>
            <w:tcW w:type="dxa" w:w="1134"/>
          </w:tcPr>
          <w:p>
            <w:r>
              <w:rPr>
                <w:sz w:val="20"/>
              </w:rPr>
              <w:t>4</w:t>
            </w:r>
          </w:p>
        </w:tc>
        <w:tc>
          <w:tcPr>
            <w:tcW w:type="dxa" w:w="5386"/>
          </w:tcPr>
          <w:p>
            <w:r>
              <w:rPr>
                <w:sz w:val="20"/>
              </w:rPr>
              <w:t>Owner dondurabilir, dondurulunca submit reddedilir, owner açabilir ve işlem tekrar çalışır, non-owner donduramaz</w:t>
            </w:r>
          </w:p>
        </w:tc>
      </w:tr>
    </w:tbl>
    <w:p>
      <w:pPr>
        <w:spacing w:before="80" w:after="80"/>
      </w:pPr>
      <w:r>
        <w:rPr>
          <w:color w:val="CCCCCC"/>
          <w:sz w:val="16"/>
        </w:rPr>
        <w:t>────────────────────────────────────────────────────────────────────────────────</w:t>
      </w:r>
    </w:p>
    <w:p>
      <w:pPr>
        <w:pStyle w:val="Heading1"/>
      </w:pPr>
      <w:r>
        <w:t>7. Gas Verimliliği Analizi</w:t>
      </w:r>
    </w:p>
    <w:p>
      <w:r>
        <w:rPr>
          <w:b w:val="0"/>
          <w:sz w:val="22"/>
        </w:rPr>
        <w:t>Hardhat local node üzerinde her işlem adımı için gas tüketimi ölçülmüş ve Gnosis Safe v1.3.0 referans değerleriyle karşılaştırılmıştır.</w:t>
      </w:r>
    </w:p>
    <w:p>
      <w:pPr>
        <w:spacing w:before="40" w:after="40"/>
        <w:ind w:left="567"/>
      </w:pPr>
      <w:r>
        <w:rPr>
          <w:rFonts w:ascii="Courier New" w:hAnsi="Courier New"/>
          <w:color w:val="1A1A2E"/>
          <w:sz w:val="18"/>
        </w:rPr>
        <w:t>Calistirma: python test/gas_benchmark.py</w:t>
      </w:r>
    </w:p>
    <w:p/>
    <w:tbl>
      <w:tblPr>
        <w:tblStyle w:val="TableGrid"/>
        <w:tblW w:type="auto" w:w="0"/>
        <w:tblLook w:firstColumn="1" w:firstRow="1" w:lastColumn="0" w:lastRow="0" w:noHBand="0" w:noVBand="1" w:val="04A0"/>
      </w:tblPr>
      <w:tblGrid>
        <w:gridCol w:w="2280"/>
        <w:gridCol w:w="2280"/>
        <w:gridCol w:w="2280"/>
        <w:gridCol w:w="2280"/>
      </w:tblGrid>
      <w:tr>
        <w:tc>
          <w:tcPr>
            <w:tcW w:type="dxa" w:w="2835"/>
            <w:shd w:fill="1F3A5F" w:color="FFFFFF" w:val="clear"/>
          </w:tcPr>
          <w:p>
            <w:pPr>
              <w:jc w:val="center"/>
            </w:pPr>
            <w:r>
              <w:rPr>
                <w:b/>
                <w:color w:val="FFFFFF"/>
                <w:sz w:val="20"/>
              </w:rPr>
              <w:t>İşlem</w:t>
            </w:r>
          </w:p>
        </w:tc>
        <w:tc>
          <w:tcPr>
            <w:tcW w:type="dxa" w:w="2268"/>
            <w:shd w:fill="1F3A5F" w:color="FFFFFF" w:val="clear"/>
          </w:tcPr>
          <w:p>
            <w:pPr>
              <w:jc w:val="center"/>
            </w:pPr>
            <w:r>
              <w:rPr>
                <w:b/>
                <w:color w:val="FFFFFF"/>
                <w:sz w:val="20"/>
              </w:rPr>
              <w:t>MultiSigWallet (Bizim)</w:t>
            </w:r>
          </w:p>
        </w:tc>
        <w:tc>
          <w:tcPr>
            <w:tcW w:type="dxa" w:w="2268"/>
            <w:shd w:fill="1F3A5F" w:color="FFFFFF" w:val="clear"/>
          </w:tcPr>
          <w:p>
            <w:pPr>
              <w:jc w:val="center"/>
            </w:pPr>
            <w:r>
              <w:rPr>
                <w:b/>
                <w:color w:val="FFFFFF"/>
                <w:sz w:val="20"/>
              </w:rPr>
              <w:t>Gnosis Safe v1.3.0</w:t>
            </w:r>
          </w:p>
        </w:tc>
        <w:tc>
          <w:tcPr>
            <w:tcW w:type="dxa" w:w="1701"/>
            <w:shd w:fill="1F3A5F" w:color="FFFFFF" w:val="clear"/>
          </w:tcPr>
          <w:p>
            <w:pPr>
              <w:jc w:val="center"/>
            </w:pPr>
            <w:r>
              <w:rPr>
                <w:b/>
                <w:color w:val="FFFFFF"/>
                <w:sz w:val="20"/>
              </w:rPr>
              <w:t>Fark (%)</w:t>
            </w:r>
          </w:p>
        </w:tc>
      </w:tr>
      <w:tr>
        <w:tc>
          <w:tcPr>
            <w:tcW w:type="dxa" w:w="2835"/>
          </w:tcPr>
          <w:p>
            <w:r>
              <w:rPr>
                <w:sz w:val="20"/>
              </w:rPr>
              <w:t>Deploy</w:t>
            </w:r>
          </w:p>
        </w:tc>
        <w:tc>
          <w:tcPr>
            <w:tcW w:type="dxa" w:w="2268"/>
          </w:tcPr>
          <w:p>
            <w:r>
              <w:rPr>
                <w:sz w:val="20"/>
              </w:rPr>
              <w:t>2,232,447</w:t>
            </w:r>
          </w:p>
        </w:tc>
        <w:tc>
          <w:tcPr>
            <w:tcW w:type="dxa" w:w="2268"/>
          </w:tcPr>
          <w:p>
            <w:r>
              <w:rPr>
                <w:sz w:val="20"/>
              </w:rPr>
              <w:t>1,349,852</w:t>
            </w:r>
          </w:p>
        </w:tc>
        <w:tc>
          <w:tcPr>
            <w:tcW w:type="dxa" w:w="1701"/>
          </w:tcPr>
          <w:p>
            <w:r>
              <w:rPr>
                <w:sz w:val="20"/>
              </w:rPr>
              <w:t>+65.4%</w:t>
            </w:r>
          </w:p>
        </w:tc>
      </w:tr>
      <w:tr>
        <w:tc>
          <w:tcPr>
            <w:tcW w:type="dxa" w:w="2835"/>
          </w:tcPr>
          <w:p>
            <w:r>
              <w:rPr>
                <w:sz w:val="20"/>
              </w:rPr>
              <w:t>submitTransaction</w:t>
            </w:r>
          </w:p>
        </w:tc>
        <w:tc>
          <w:tcPr>
            <w:tcW w:type="dxa" w:w="2268"/>
          </w:tcPr>
          <w:p>
            <w:r>
              <w:rPr>
                <w:sz w:val="20"/>
              </w:rPr>
              <w:t>106,188</w:t>
            </w:r>
          </w:p>
        </w:tc>
        <w:tc>
          <w:tcPr>
            <w:tcW w:type="dxa" w:w="2268"/>
          </w:tcPr>
          <w:p>
            <w:r>
              <w:rPr>
                <w:sz w:val="20"/>
              </w:rPr>
              <w:t>72,400</w:t>
            </w:r>
          </w:p>
        </w:tc>
        <w:tc>
          <w:tcPr>
            <w:tcW w:type="dxa" w:w="1701"/>
          </w:tcPr>
          <w:p>
            <w:r>
              <w:rPr>
                <w:sz w:val="20"/>
              </w:rPr>
              <w:t>+46.7%</w:t>
            </w:r>
          </w:p>
        </w:tc>
      </w:tr>
      <w:tr>
        <w:tc>
          <w:tcPr>
            <w:tcW w:type="dxa" w:w="2835"/>
          </w:tcPr>
          <w:p>
            <w:r>
              <w:rPr>
                <w:sz w:val="20"/>
              </w:rPr>
              <w:t>confirmTransaction (1. onay)</w:t>
            </w:r>
          </w:p>
        </w:tc>
        <w:tc>
          <w:tcPr>
            <w:tcW w:type="dxa" w:w="2268"/>
          </w:tcPr>
          <w:p>
            <w:r>
              <w:rPr>
                <w:sz w:val="20"/>
              </w:rPr>
              <w:t>82,231</w:t>
            </w:r>
          </w:p>
        </w:tc>
        <w:tc>
          <w:tcPr>
            <w:tcW w:type="dxa" w:w="2268"/>
          </w:tcPr>
          <w:p>
            <w:r>
              <w:rPr>
                <w:sz w:val="20"/>
              </w:rPr>
              <w:t>48,200</w:t>
            </w:r>
          </w:p>
        </w:tc>
        <w:tc>
          <w:tcPr>
            <w:tcW w:type="dxa" w:w="1701"/>
          </w:tcPr>
          <w:p>
            <w:r>
              <w:rPr>
                <w:sz w:val="20"/>
              </w:rPr>
              <w:t>+70.6%</w:t>
            </w:r>
          </w:p>
        </w:tc>
      </w:tr>
      <w:tr>
        <w:tc>
          <w:tcPr>
            <w:tcW w:type="dxa" w:w="2835"/>
          </w:tcPr>
          <w:p>
            <w:r>
              <w:rPr>
                <w:sz w:val="20"/>
              </w:rPr>
              <w:t>confirmTransaction (2. onay)</w:t>
            </w:r>
          </w:p>
        </w:tc>
        <w:tc>
          <w:tcPr>
            <w:tcW w:type="dxa" w:w="2268"/>
          </w:tcPr>
          <w:p>
            <w:r>
              <w:rPr>
                <w:sz w:val="20"/>
              </w:rPr>
              <w:t>113,349</w:t>
            </w:r>
          </w:p>
        </w:tc>
        <w:tc>
          <w:tcPr>
            <w:tcW w:type="dxa" w:w="2268"/>
          </w:tcPr>
          <w:p>
            <w:r>
              <w:rPr>
                <w:sz w:val="20"/>
              </w:rPr>
              <w:t>48,200</w:t>
            </w:r>
          </w:p>
        </w:tc>
        <w:tc>
          <w:tcPr>
            <w:tcW w:type="dxa" w:w="1701"/>
          </w:tcPr>
          <w:p>
            <w:r>
              <w:rPr>
                <w:sz w:val="20"/>
              </w:rPr>
              <w:t>+135.2%</w:t>
            </w:r>
          </w:p>
        </w:tc>
      </w:tr>
      <w:tr>
        <w:tc>
          <w:tcPr>
            <w:tcW w:type="dxa" w:w="2835"/>
          </w:tcPr>
          <w:p>
            <w:r>
              <w:rPr>
                <w:sz w:val="20"/>
              </w:rPr>
              <w:t>executeTransaction</w:t>
            </w:r>
          </w:p>
        </w:tc>
        <w:tc>
          <w:tcPr>
            <w:tcW w:type="dxa" w:w="2268"/>
          </w:tcPr>
          <w:p>
            <w:r>
              <w:rPr>
                <w:sz w:val="20"/>
              </w:rPr>
              <w:t>101,704</w:t>
            </w:r>
          </w:p>
        </w:tc>
        <w:tc>
          <w:tcPr>
            <w:tcW w:type="dxa" w:w="2268"/>
          </w:tcPr>
          <w:p>
            <w:r>
              <w:rPr>
                <w:sz w:val="20"/>
              </w:rPr>
              <w:t>65,900</w:t>
            </w:r>
          </w:p>
        </w:tc>
        <w:tc>
          <w:tcPr>
            <w:tcW w:type="dxa" w:w="1701"/>
          </w:tcPr>
          <w:p>
            <w:r>
              <w:rPr>
                <w:sz w:val="20"/>
              </w:rPr>
              <w:t>+54.3%</w:t>
            </w:r>
          </w:p>
        </w:tc>
      </w:tr>
      <w:tr>
        <w:tc>
          <w:tcPr>
            <w:tcW w:type="dxa" w:w="2835"/>
          </w:tcPr>
          <w:p>
            <w:r>
              <w:rPr>
                <w:sz w:val="20"/>
              </w:rPr>
              <w:t>TX Lifecycle Toplam</w:t>
            </w:r>
          </w:p>
        </w:tc>
        <w:tc>
          <w:tcPr>
            <w:tcW w:type="dxa" w:w="2268"/>
          </w:tcPr>
          <w:p>
            <w:r>
              <w:rPr>
                <w:sz w:val="20"/>
              </w:rPr>
              <w:t>403,472</w:t>
            </w:r>
          </w:p>
        </w:tc>
        <w:tc>
          <w:tcPr>
            <w:tcW w:type="dxa" w:w="2268"/>
          </w:tcPr>
          <w:p>
            <w:r>
              <w:rPr>
                <w:sz w:val="20"/>
              </w:rPr>
              <w:t>234,700</w:t>
            </w:r>
          </w:p>
        </w:tc>
        <w:tc>
          <w:tcPr>
            <w:tcW w:type="dxa" w:w="1701"/>
          </w:tcPr>
          <w:p>
            <w:r>
              <w:rPr>
                <w:sz w:val="20"/>
              </w:rPr>
              <w:t>+71.9%</w:t>
            </w:r>
          </w:p>
        </w:tc>
      </w:tr>
    </w:tbl>
    <w:p/>
    <w:p>
      <w:r>
        <w:rPr>
          <w:b/>
          <w:sz w:val="22"/>
        </w:rPr>
        <w:t>Fark Analizi:</w:t>
      </w:r>
    </w:p>
    <w:p>
      <w:pPr>
        <w:pStyle w:val="ListBullet"/>
        <w:ind w:left="283"/>
      </w:pPr>
      <w:r>
        <w:rPr>
          <w:sz w:val="21"/>
        </w:rPr>
        <w:t>Gnosis Safe proxy mimarisi (EIP-1167 minimal proxy) kullanır — deploy gas'ı düşüktür.</w:t>
      </w:r>
    </w:p>
    <w:p>
      <w:pPr>
        <w:pStyle w:val="ListBullet"/>
        <w:ind w:left="283"/>
      </w:pPr>
      <w:r>
        <w:rPr>
          <w:sz w:val="21"/>
        </w:rPr>
        <w:t>Bizim kontratımız tek parça (monolithic) deploy edilir; bu akademik prototip için beklenen bir sonuçtur.</w:t>
      </w:r>
    </w:p>
    <w:p>
      <w:pPr>
        <w:pStyle w:val="ListBullet"/>
        <w:ind w:left="283"/>
      </w:pPr>
      <w:r>
        <w:rPr>
          <w:sz w:val="21"/>
        </w:rPr>
        <w:t>2. confirmTransaction daha fazla gas harcar çünkü bu onay threshold'u tamamlar ve isConfirmed döngüsü çalışır.</w:t>
      </w:r>
    </w:p>
    <w:p>
      <w:pPr>
        <w:pStyle w:val="ListBullet"/>
        <w:ind w:left="283"/>
      </w:pPr>
      <w:r>
        <w:rPr>
          <w:sz w:val="21"/>
        </w:rPr>
        <w:t>Üretim sisteminde EIP-712 off-chain imza toplama ile confirmTransaction gas'ı sıfıra indirilebilir.</w:t>
      </w:r>
    </w:p>
    <w:p>
      <w:pPr>
        <w:spacing w:before="80" w:after="80"/>
      </w:pPr>
      <w:r>
        <w:rPr>
          <w:color w:val="CCCCCC"/>
          <w:sz w:val="16"/>
        </w:rPr>
        <w:t>────────────────────────────────────────────────────────────────────────────────</w:t>
      </w:r>
    </w:p>
    <w:p>
      <w:pPr>
        <w:pStyle w:val="Heading1"/>
      </w:pPr>
      <w:r>
        <w:t>8. İşlem Akışı — Adım Adım</w:t>
      </w:r>
    </w:p>
    <w:p>
      <w:r>
        <w:rPr>
          <w:b/>
          <w:sz w:val="24"/>
        </w:rPr>
        <w:t>8.1 Normal Para Transferi (2-of-3)</w:t>
      </w:r>
    </w:p>
    <w:p>
      <w:pPr>
        <w:ind w:left="283"/>
      </w:pPr>
      <w:r>
        <w:rPr>
          <w:b/>
          <w:sz w:val="22"/>
        </w:rPr>
        <w:t xml:space="preserve">Adım 1 — Submit: </w:t>
      </w:r>
      <w:r>
        <w:rPr>
          <w:sz w:val="22"/>
        </w:rPr>
        <w:t>Bir sahip Streamlit'te "Propose New Transfer" bölümünden alıcı adres ve miktar girer. submit_transaction() çağrılır, kontrata yazılır, txIndex alınır. Diğer sahipler bunu "Pending Approvals" tablosunda görür.</w:t>
      </w:r>
    </w:p>
    <w:p>
      <w:pPr>
        <w:ind w:left="283"/>
      </w:pPr>
      <w:r>
        <w:rPr>
          <w:b/>
          <w:sz w:val="22"/>
        </w:rPr>
        <w:t xml:space="preserve">Adım 2 — Confirm: </w:t>
      </w:r>
      <w:r>
        <w:rPr>
          <w:sz w:val="22"/>
        </w:rPr>
        <w:t>İkinci sahip (farklı private key ile giriş yapmış) Pending listesinden TX'i seçer, "Confirm Approval" butonuna basar. confirmTransaction() çağrılır, onay sayısı 1 artar.</w:t>
      </w:r>
    </w:p>
    <w:p>
      <w:pPr>
        <w:ind w:left="283"/>
      </w:pPr>
      <w:r>
        <w:rPr>
          <w:b/>
          <w:sz w:val="22"/>
        </w:rPr>
        <w:t xml:space="preserve">Adım 3 — Threshold: </w:t>
      </w:r>
      <w:r>
        <w:rPr>
          <w:sz w:val="22"/>
        </w:rPr>
        <w:t>Threshold 2 olduğundan 2. onay yeterlidir. Pending tabloda "Ready" olarak işaretlenir, Execute butonu aktif hale gelir.</w:t>
      </w:r>
    </w:p>
    <w:p>
      <w:pPr>
        <w:ind w:left="283"/>
      </w:pPr>
      <w:r>
        <w:rPr>
          <w:b/>
          <w:sz w:val="22"/>
        </w:rPr>
        <w:t xml:space="preserve">Adım 4 — Execute: </w:t>
      </w:r>
      <w:r>
        <w:rPr>
          <w:sz w:val="22"/>
        </w:rPr>
        <w:t>Herhangi bir sahip "Execute Transaction" butonuna basar. executeTransaction() çağrılır. Kontrat ETH'i alıcıya gönderir. executed=true set edilir, tekrar yürütülemez.</w:t>
      </w:r>
    </w:p>
    <w:p/>
    <w:p>
      <w:r>
        <w:rPr>
          <w:b/>
          <w:sz w:val="24"/>
        </w:rPr>
        <w:t>8.2 Owner Yönetimi (addOwner / removeOwner)</w:t>
      </w:r>
    </w:p>
    <w:p>
      <w:r>
        <w:rPr>
          <w:b w:val="0"/>
          <w:sz w:val="22"/>
        </w:rPr>
        <w:t>Owner değişiklikleri doğrudan yapılamaz — mutlaka mevcut sahiplerin multi-sig konsensüsünden geçmesi gerekir. Bu mekanizma quorum manipulation saldırısını önler.</w:t>
      </w:r>
    </w:p>
    <w:p>
      <w:pPr>
        <w:ind w:left="283"/>
      </w:pPr>
      <w:r>
        <w:rPr>
          <w:b/>
          <w:sz w:val="22"/>
        </w:rPr>
        <w:t xml:space="preserve">Adım 1: </w:t>
      </w:r>
      <w:r>
        <w:rPr>
          <w:sz w:val="22"/>
        </w:rPr>
        <w:t>Bir sahip "Owner Yönetimi" panelinden işlem türünü (Add/Remove/Replace) ve adresi seçer.</w:t>
      </w:r>
    </w:p>
    <w:p>
      <w:pPr>
        <w:ind w:left="283"/>
      </w:pPr>
      <w:r>
        <w:rPr>
          <w:b/>
          <w:sz w:val="22"/>
        </w:rPr>
        <w:t xml:space="preserve">Adım 2: </w:t>
      </w:r>
      <w:r>
        <w:rPr>
          <w:sz w:val="22"/>
        </w:rPr>
        <w:t>encode_management_call() fonksiyonu, kontrat fonksiyonunu ABI-encode eder (addOwner(0x...) calldata'sı).</w:t>
      </w:r>
    </w:p>
    <w:p>
      <w:pPr>
        <w:ind w:left="283"/>
      </w:pPr>
      <w:r>
        <w:rPr>
          <w:b/>
          <w:sz w:val="22"/>
        </w:rPr>
        <w:t xml:space="preserve">Adım 3: </w:t>
      </w:r>
      <w:r>
        <w:rPr>
          <w:sz w:val="22"/>
        </w:rPr>
        <w:t>Bu calldata, TO adresi kontratın kendisi olarak submitTransaction'a verilir.</w:t>
      </w:r>
    </w:p>
    <w:p>
      <w:pPr>
        <w:ind w:left="283"/>
      </w:pPr>
      <w:r>
        <w:rPr>
          <w:b/>
          <w:sz w:val="22"/>
        </w:rPr>
        <w:t xml:space="preserve">Adım 4: </w:t>
      </w:r>
      <w:r>
        <w:rPr>
          <w:sz w:val="22"/>
        </w:rPr>
        <w:t>Diğer sahipler normal akıştaki gibi onaylar. Threshold dolunca execute edildiğinde kontrat kendi addOwner fonksiyonunu çalıştırır.</w:t>
      </w:r>
    </w:p>
    <w:p/>
    <w:p>
      <w:r>
        <w:rPr>
          <w:b/>
          <w:sz w:val="24"/>
        </w:rPr>
        <w:t>8.3 Emergency Pause</w:t>
      </w:r>
    </w:p>
    <w:p>
      <w:r>
        <w:rPr>
          <w:b w:val="0"/>
          <w:sz w:val="22"/>
        </w:rPr>
        <w:t>Herhangi bir sahip sidebar'dan "Emergency Pause" butonuna basarak cüzdanı anlık olarak dondurabilir. Dondurulduğunda submitTransaction, confirmTransaction, executeTransaction ve revokeConfirmation fonksiyonlarının tamamı whenNotPaused modifier'ı ile reddedilir. Arayüzde Action Center komple kapanır ve kırmızı uyarı banner'ı gösterilir. Herhangi bir sahip "Yeniden Aç" ile kaldırabilir.</w:t>
      </w:r>
    </w:p>
    <w:p>
      <w:pPr>
        <w:spacing w:before="80" w:after="80"/>
      </w:pPr>
      <w:r>
        <w:rPr>
          <w:color w:val="CCCCCC"/>
          <w:sz w:val="16"/>
        </w:rPr>
        <w:t>────────────────────────────────────────────────────────────────────────────────</w:t>
      </w:r>
    </w:p>
    <w:p>
      <w:pPr>
        <w:pStyle w:val="Heading1"/>
      </w:pPr>
      <w:r>
        <w:t>9. Teknik Detaylar</w:t>
      </w:r>
    </w:p>
    <w:p>
      <w:r>
        <w:rPr>
          <w:b/>
          <w:sz w:val="24"/>
        </w:rPr>
        <w:t>9.1 Kullanılan Teknoloji ve Sürümler</w:t>
      </w:r>
    </w:p>
    <w:tbl>
      <w:tblPr>
        <w:tblStyle w:val="TableGrid"/>
        <w:tblW w:type="auto" w:w="0"/>
        <w:tblLook w:firstColumn="1" w:firstRow="1" w:lastColumn="0" w:lastRow="0" w:noHBand="0" w:noVBand="1" w:val="04A0"/>
      </w:tblPr>
      <w:tblGrid>
        <w:gridCol w:w="3041"/>
        <w:gridCol w:w="3041"/>
        <w:gridCol w:w="3041"/>
      </w:tblGrid>
      <w:tr>
        <w:tc>
          <w:tcPr>
            <w:tcW w:type="dxa" w:w="2268"/>
            <w:shd w:fill="1F3A5F" w:color="FFFFFF" w:val="clear"/>
          </w:tcPr>
          <w:p>
            <w:pPr>
              <w:jc w:val="center"/>
            </w:pPr>
            <w:r>
              <w:rPr>
                <w:b/>
                <w:color w:val="FFFFFF"/>
                <w:sz w:val="20"/>
              </w:rPr>
              <w:t>Teknoloji</w:t>
            </w:r>
          </w:p>
        </w:tc>
        <w:tc>
          <w:tcPr>
            <w:tcW w:type="dxa" w:w="1701"/>
            <w:shd w:fill="1F3A5F" w:color="FFFFFF" w:val="clear"/>
          </w:tcPr>
          <w:p>
            <w:pPr>
              <w:jc w:val="center"/>
            </w:pPr>
            <w:r>
              <w:rPr>
                <w:b/>
                <w:color w:val="FFFFFF"/>
                <w:sz w:val="20"/>
              </w:rPr>
              <w:t>Sürüm</w:t>
            </w:r>
          </w:p>
        </w:tc>
        <w:tc>
          <w:tcPr>
            <w:tcW w:type="dxa" w:w="5102"/>
            <w:shd w:fill="1F3A5F" w:color="FFFFFF" w:val="clear"/>
          </w:tcPr>
          <w:p>
            <w:pPr>
              <w:jc w:val="center"/>
            </w:pPr>
            <w:r>
              <w:rPr>
                <w:b/>
                <w:color w:val="FFFFFF"/>
                <w:sz w:val="20"/>
              </w:rPr>
              <w:t>Kullanım Amacı</w:t>
            </w:r>
          </w:p>
        </w:tc>
      </w:tr>
      <w:tr>
        <w:tc>
          <w:tcPr>
            <w:tcW w:type="dxa" w:w="2268"/>
          </w:tcPr>
          <w:p>
            <w:r>
              <w:rPr>
                <w:sz w:val="20"/>
              </w:rPr>
              <w:t>Solidity</w:t>
            </w:r>
          </w:p>
        </w:tc>
        <w:tc>
          <w:tcPr>
            <w:tcW w:type="dxa" w:w="1701"/>
          </w:tcPr>
          <w:p>
            <w:r>
              <w:rPr>
                <w:sz w:val="20"/>
              </w:rPr>
              <w:t>0.8.20</w:t>
            </w:r>
          </w:p>
        </w:tc>
        <w:tc>
          <w:tcPr>
            <w:tcW w:type="dxa" w:w="5102"/>
          </w:tcPr>
          <w:p>
            <w:r>
              <w:rPr>
                <w:sz w:val="20"/>
              </w:rPr>
              <w:t>Akıllı kontrat programlama dili</w:t>
            </w:r>
          </w:p>
        </w:tc>
      </w:tr>
      <w:tr>
        <w:tc>
          <w:tcPr>
            <w:tcW w:type="dxa" w:w="2268"/>
          </w:tcPr>
          <w:p>
            <w:r>
              <w:rPr>
                <w:sz w:val="20"/>
              </w:rPr>
              <w:t>OpenZeppelin Contracts</w:t>
            </w:r>
          </w:p>
        </w:tc>
        <w:tc>
          <w:tcPr>
            <w:tcW w:type="dxa" w:w="1701"/>
          </w:tcPr>
          <w:p>
            <w:r>
              <w:rPr>
                <w:sz w:val="20"/>
              </w:rPr>
              <w:t>5.x</w:t>
            </w:r>
          </w:p>
        </w:tc>
        <w:tc>
          <w:tcPr>
            <w:tcW w:type="dxa" w:w="5102"/>
          </w:tcPr>
          <w:p>
            <w:r>
              <w:rPr>
                <w:sz w:val="20"/>
              </w:rPr>
              <w:t>ReentrancyGuard, güvenlik kütüphaneleri</w:t>
            </w:r>
          </w:p>
        </w:tc>
      </w:tr>
      <w:tr>
        <w:tc>
          <w:tcPr>
            <w:tcW w:type="dxa" w:w="2268"/>
          </w:tcPr>
          <w:p>
            <w:r>
              <w:rPr>
                <w:sz w:val="20"/>
              </w:rPr>
              <w:t>Hardhat</w:t>
            </w:r>
          </w:p>
        </w:tc>
        <w:tc>
          <w:tcPr>
            <w:tcW w:type="dxa" w:w="1701"/>
          </w:tcPr>
          <w:p>
            <w:r>
              <w:rPr>
                <w:sz w:val="20"/>
              </w:rPr>
              <w:t>3.x (ESM)</w:t>
            </w:r>
          </w:p>
        </w:tc>
        <w:tc>
          <w:tcPr>
            <w:tcW w:type="dxa" w:w="5102"/>
          </w:tcPr>
          <w:p>
            <w:r>
              <w:rPr>
                <w:sz w:val="20"/>
              </w:rPr>
              <w:t>Lokal blockchain, derleme, deploy</w:t>
            </w:r>
          </w:p>
        </w:tc>
      </w:tr>
      <w:tr>
        <w:tc>
          <w:tcPr>
            <w:tcW w:type="dxa" w:w="2268"/>
          </w:tcPr>
          <w:p>
            <w:r>
              <w:rPr>
                <w:sz w:val="20"/>
              </w:rPr>
              <w:t>Web3.py</w:t>
            </w:r>
          </w:p>
        </w:tc>
        <w:tc>
          <w:tcPr>
            <w:tcW w:type="dxa" w:w="1701"/>
          </w:tcPr>
          <w:p>
            <w:r>
              <w:rPr>
                <w:sz w:val="20"/>
              </w:rPr>
              <w:t>7.16.0</w:t>
            </w:r>
          </w:p>
        </w:tc>
        <w:tc>
          <w:tcPr>
            <w:tcW w:type="dxa" w:w="5102"/>
          </w:tcPr>
          <w:p>
            <w:r>
              <w:rPr>
                <w:sz w:val="20"/>
              </w:rPr>
              <w:t>Python-blockchain etkileşimi</w:t>
            </w:r>
          </w:p>
        </w:tc>
      </w:tr>
      <w:tr>
        <w:tc>
          <w:tcPr>
            <w:tcW w:type="dxa" w:w="2268"/>
          </w:tcPr>
          <w:p>
            <w:r>
              <w:rPr>
                <w:sz w:val="20"/>
              </w:rPr>
              <w:t>Streamlit</w:t>
            </w:r>
          </w:p>
        </w:tc>
        <w:tc>
          <w:tcPr>
            <w:tcW w:type="dxa" w:w="1701"/>
          </w:tcPr>
          <w:p>
            <w:r>
              <w:rPr>
                <w:sz w:val="20"/>
              </w:rPr>
              <w:t>1.50.0</w:t>
            </w:r>
          </w:p>
        </w:tc>
        <w:tc>
          <w:tcPr>
            <w:tcW w:type="dxa" w:w="5102"/>
          </w:tcPr>
          <w:p>
            <w:r>
              <w:rPr>
                <w:sz w:val="20"/>
              </w:rPr>
              <w:t>Web kullanıcı arayüzü</w:t>
            </w:r>
          </w:p>
        </w:tc>
      </w:tr>
      <w:tr>
        <w:tc>
          <w:tcPr>
            <w:tcW w:type="dxa" w:w="2268"/>
          </w:tcPr>
          <w:p>
            <w:r>
              <w:rPr>
                <w:sz w:val="20"/>
              </w:rPr>
              <w:t>Python</w:t>
            </w:r>
          </w:p>
        </w:tc>
        <w:tc>
          <w:tcPr>
            <w:tcW w:type="dxa" w:w="1701"/>
          </w:tcPr>
          <w:p>
            <w:r>
              <w:rPr>
                <w:sz w:val="20"/>
              </w:rPr>
              <w:t>3.9</w:t>
            </w:r>
          </w:p>
        </w:tc>
        <w:tc>
          <w:tcPr>
            <w:tcW w:type="dxa" w:w="5102"/>
          </w:tcPr>
          <w:p>
            <w:r>
              <w:rPr>
                <w:sz w:val="20"/>
              </w:rPr>
              <w:t>Backend dili</w:t>
            </w:r>
          </w:p>
        </w:tc>
      </w:tr>
      <w:tr>
        <w:tc>
          <w:tcPr>
            <w:tcW w:type="dxa" w:w="2268"/>
          </w:tcPr>
          <w:p>
            <w:r>
              <w:rPr>
                <w:sz w:val="20"/>
              </w:rPr>
              <w:t>Slither</w:t>
            </w:r>
          </w:p>
        </w:tc>
        <w:tc>
          <w:tcPr>
            <w:tcW w:type="dxa" w:w="1701"/>
          </w:tcPr>
          <w:p>
            <w:r>
              <w:rPr>
                <w:sz w:val="20"/>
              </w:rPr>
              <w:t>0.11.4</w:t>
            </w:r>
          </w:p>
        </w:tc>
        <w:tc>
          <w:tcPr>
            <w:tcW w:type="dxa" w:w="5102"/>
          </w:tcPr>
          <w:p>
            <w:r>
              <w:rPr>
                <w:sz w:val="20"/>
              </w:rPr>
              <w:t>Statik güvenlik analizi</w:t>
            </w:r>
          </w:p>
        </w:tc>
      </w:tr>
      <w:tr>
        <w:tc>
          <w:tcPr>
            <w:tcW w:type="dxa" w:w="2268"/>
          </w:tcPr>
          <w:p>
            <w:r>
              <w:rPr>
                <w:sz w:val="20"/>
              </w:rPr>
              <w:t>pytest</w:t>
            </w:r>
          </w:p>
        </w:tc>
        <w:tc>
          <w:tcPr>
            <w:tcW w:type="dxa" w:w="1701"/>
          </w:tcPr>
          <w:p>
            <w:r>
              <w:rPr>
                <w:sz w:val="20"/>
              </w:rPr>
              <w:t>8.4.2</w:t>
            </w:r>
          </w:p>
        </w:tc>
        <w:tc>
          <w:tcPr>
            <w:tcW w:type="dxa" w:w="5102"/>
          </w:tcPr>
          <w:p>
            <w:r>
              <w:rPr>
                <w:sz w:val="20"/>
              </w:rPr>
              <w:t>Otomatik test çerçevesi</w:t>
            </w:r>
          </w:p>
        </w:tc>
      </w:tr>
      <w:tr>
        <w:tc>
          <w:tcPr>
            <w:tcW w:type="dxa" w:w="2268"/>
          </w:tcPr>
          <w:p>
            <w:r>
              <w:rPr>
                <w:sz w:val="20"/>
              </w:rPr>
              <w:t>fpdf2</w:t>
            </w:r>
          </w:p>
        </w:tc>
        <w:tc>
          <w:tcPr>
            <w:tcW w:type="dxa" w:w="1701"/>
          </w:tcPr>
          <w:p>
            <w:r>
              <w:rPr>
                <w:sz w:val="20"/>
              </w:rPr>
              <w:t>2.8.4</w:t>
            </w:r>
          </w:p>
        </w:tc>
        <w:tc>
          <w:tcPr>
            <w:tcW w:type="dxa" w:w="5102"/>
          </w:tcPr>
          <w:p>
            <w:r>
              <w:rPr>
                <w:sz w:val="20"/>
              </w:rPr>
              <w:t>PDF raporu üretimi</w:t>
            </w:r>
          </w:p>
        </w:tc>
      </w:tr>
      <w:tr>
        <w:tc>
          <w:tcPr>
            <w:tcW w:type="dxa" w:w="2268"/>
          </w:tcPr>
          <w:p>
            <w:r>
              <w:rPr>
                <w:sz w:val="20"/>
              </w:rPr>
              <w:t>Sepolia Testnet</w:t>
            </w:r>
          </w:p>
        </w:tc>
        <w:tc>
          <w:tcPr>
            <w:tcW w:type="dxa" w:w="1701"/>
          </w:tcPr>
          <w:p>
            <w:r>
              <w:rPr>
                <w:sz w:val="20"/>
              </w:rPr>
              <w:t>chainId: 11155111</w:t>
            </w:r>
          </w:p>
        </w:tc>
        <w:tc>
          <w:tcPr>
            <w:tcW w:type="dxa" w:w="5102"/>
          </w:tcPr>
          <w:p>
            <w:r>
              <w:rPr>
                <w:sz w:val="20"/>
              </w:rPr>
              <w:t>Test ağı deploy</w:t>
            </w:r>
          </w:p>
        </w:tc>
      </w:tr>
      <w:tr>
        <w:tc>
          <w:tcPr>
            <w:tcW w:type="dxa" w:w="2268"/>
          </w:tcPr>
          <w:p>
            <w:r>
              <w:rPr>
                <w:sz w:val="20"/>
              </w:rPr>
              <w:t>Infura</w:t>
            </w:r>
          </w:p>
        </w:tc>
        <w:tc>
          <w:tcPr>
            <w:tcW w:type="dxa" w:w="1701"/>
          </w:tcPr>
          <w:p>
            <w:r>
              <w:rPr>
                <w:sz w:val="20"/>
              </w:rPr>
              <w:t>-</w:t>
            </w:r>
          </w:p>
        </w:tc>
        <w:tc>
          <w:tcPr>
            <w:tcW w:type="dxa" w:w="5102"/>
          </w:tcPr>
          <w:p>
            <w:r>
              <w:rPr>
                <w:sz w:val="20"/>
              </w:rPr>
              <w:t>RPC sağlayıcısı</w:t>
            </w:r>
          </w:p>
        </w:tc>
      </w:tr>
    </w:tbl>
    <w:p/>
    <w:p>
      <w:r>
        <w:rPr>
          <w:b/>
          <w:sz w:val="24"/>
        </w:rPr>
        <w:t>9.2 Kritik Kod Kararları</w:t>
      </w:r>
    </w:p>
    <w:p>
      <w:pPr>
        <w:ind w:left="283"/>
      </w:pPr>
      <w:r>
        <w:rPr>
          <w:b/>
          <w:sz w:val="21"/>
        </w:rPr>
        <w:t xml:space="preserve">• web3.py v7'de signed.raw_transaction (rawTransaction değil): </w:t>
      </w:r>
      <w:r>
        <w:rPr>
          <w:sz w:val="21"/>
        </w:rPr>
        <w:t>Web3.py 7.x API değişikliği — eski sürümden farklı.</w:t>
      </w:r>
    </w:p>
    <w:p>
      <w:pPr>
        <w:ind w:left="283"/>
      </w:pPr>
      <w:r>
        <w:rPr>
          <w:b/>
          <w:sz w:val="21"/>
        </w:rPr>
        <w:t xml:space="preserve">• bytes(pdf.output()) — fpdf2'de: </w:t>
      </w:r>
      <w:r>
        <w:rPr>
          <w:sz w:val="21"/>
        </w:rPr>
        <w:t>fpdf2 kütüphanesi bytearray döner, str değil. encode() çağrısı hata verir.</w:t>
      </w:r>
    </w:p>
    <w:p>
      <w:pPr>
        <w:ind w:left="283"/>
      </w:pPr>
      <w:r>
        <w:rPr>
          <w:b/>
          <w:sz w:val="21"/>
        </w:rPr>
        <w:t xml:space="preserve">• st.cache_data(ttl=8) — blockchain çağrıları için: </w:t>
      </w:r>
      <w:r>
        <w:rPr>
          <w:sz w:val="21"/>
        </w:rPr>
        <w:t>Her render'da RPC çağrısı yapmak uygulamayı yavaşlatır. 8 saniyelik cache yeterince güncel tutar.</w:t>
      </w:r>
    </w:p>
    <w:p>
      <w:pPr>
        <w:ind w:left="283"/>
      </w:pPr>
      <w:r>
        <w:rPr>
          <w:b/>
          <w:sz w:val="21"/>
        </w:rPr>
        <w:t xml:space="preserve">• gasPrice: w3.eth.gas_price — test tx'lerinde: </w:t>
      </w:r>
      <w:r>
        <w:rPr>
          <w:sz w:val="21"/>
        </w:rPr>
        <w:t>EIP-1559 desteklemeyen legacy tx formatı Hardhat local node'unda gasPrice gerektirir.</w:t>
      </w:r>
    </w:p>
    <w:p>
      <w:pPr>
        <w:ind w:left="283"/>
      </w:pPr>
      <w:r>
        <w:rPr>
          <w:b/>
          <w:sz w:val="21"/>
        </w:rPr>
        <w:t xml:space="preserve">• Web3.to_checksum_address() — tüm adreslerde: </w:t>
      </w:r>
      <w:r>
        <w:rPr>
          <w:sz w:val="21"/>
        </w:rPr>
        <w:t>web3.py v7 büyük/küçük harf duyarlıdır; Hardhat'ın default adresleri checksum olmadan InvalidAddress hatası verir.</w:t>
      </w:r>
    </w:p>
    <w:p>
      <w:pPr>
        <w:ind w:left="283"/>
      </w:pPr>
      <w:r>
        <w:rPr>
          <w:b/>
          <w:sz w:val="21"/>
        </w:rPr>
        <w:t xml:space="preserve">• onlyWallet modifier: </w:t>
      </w:r>
      <w:r>
        <w:rPr>
          <w:sz w:val="21"/>
        </w:rPr>
        <w:t>addOwner/removeOwner gibi admin fonksiyonları sadece msg.sender == address(this) ise çalışır. Yani ancak kontratın kendisi çağırabilir — çok imzalı konsensüs zorunludur.</w:t>
      </w:r>
    </w:p>
    <w:p>
      <w:pPr>
        <w:spacing w:before="80" w:after="80"/>
      </w:pPr>
      <w:r>
        <w:rPr>
          <w:color w:val="CCCCCC"/>
          <w:sz w:val="16"/>
        </w:rPr>
        <w:t>────────────────────────────────────────────────────────────────────────────────</w:t>
      </w:r>
    </w:p>
    <w:p>
      <w:pPr>
        <w:pStyle w:val="Heading1"/>
      </w:pPr>
      <w:r>
        <w:t>10. Proposal Vaadleri vs. Gerçekleştirilenler</w:t>
      </w:r>
    </w:p>
    <w:tbl>
      <w:tblPr>
        <w:tblStyle w:val="TableGrid"/>
        <w:tblW w:type="auto" w:w="0"/>
        <w:tblLook w:firstColumn="1" w:firstRow="1" w:lastColumn="0" w:lastRow="0" w:noHBand="0" w:noVBand="1" w:val="04A0"/>
      </w:tblPr>
      <w:tblGrid>
        <w:gridCol w:w="3041"/>
        <w:gridCol w:w="3041"/>
        <w:gridCol w:w="3041"/>
      </w:tblGrid>
      <w:tr>
        <w:tc>
          <w:tcPr>
            <w:tcW w:type="dxa" w:w="3402"/>
            <w:shd w:fill="1F3A5F" w:color="FFFFFF" w:val="clear"/>
          </w:tcPr>
          <w:p>
            <w:pPr>
              <w:jc w:val="center"/>
            </w:pPr>
            <w:r>
              <w:rPr>
                <w:b/>
                <w:color w:val="FFFFFF"/>
                <w:sz w:val="20"/>
              </w:rPr>
              <w:t>Vaad (Proposal)</w:t>
            </w:r>
          </w:p>
        </w:tc>
        <w:tc>
          <w:tcPr>
            <w:tcW w:type="dxa" w:w="1417"/>
            <w:shd w:fill="1F3A5F" w:color="FFFFFF" w:val="clear"/>
          </w:tcPr>
          <w:p>
            <w:pPr>
              <w:jc w:val="center"/>
            </w:pPr>
            <w:r>
              <w:rPr>
                <w:b/>
                <w:color w:val="FFFFFF"/>
                <w:sz w:val="20"/>
              </w:rPr>
              <w:t>Durum</w:t>
            </w:r>
          </w:p>
        </w:tc>
        <w:tc>
          <w:tcPr>
            <w:tcW w:type="dxa" w:w="4252"/>
            <w:shd w:fill="1F3A5F" w:color="FFFFFF" w:val="clear"/>
          </w:tcPr>
          <w:p>
            <w:pPr>
              <w:jc w:val="center"/>
            </w:pPr>
            <w:r>
              <w:rPr>
                <w:b/>
                <w:color w:val="FFFFFF"/>
                <w:sz w:val="20"/>
              </w:rPr>
              <w:t>Açıklama</w:t>
            </w:r>
          </w:p>
        </w:tc>
      </w:tr>
      <w:tr>
        <w:tc>
          <w:tcPr>
            <w:tcW w:type="dxa" w:w="3402"/>
          </w:tcPr>
          <w:p>
            <w:r>
              <w:rPr>
                <w:sz w:val="20"/>
              </w:rPr>
              <w:t>3 modüler Solidity kontrat</w:t>
            </w:r>
          </w:p>
        </w:tc>
        <w:tc>
          <w:tcPr>
            <w:tcW w:type="dxa" w:w="1417"/>
          </w:tcPr>
          <w:p>
            <w:r>
              <w:rPr>
                <w:sz w:val="20"/>
              </w:rPr>
              <w:t>YAPILDI</w:t>
            </w:r>
          </w:p>
        </w:tc>
        <w:tc>
          <w:tcPr>
            <w:tcW w:type="dxa" w:w="4252"/>
          </w:tcPr>
          <w:p>
            <w:r>
              <w:rPr>
                <w:sz w:val="20"/>
              </w:rPr>
              <w:t>MultiSigWallet, OwnerManager, TransactionManager</w:t>
            </w:r>
          </w:p>
        </w:tc>
      </w:tr>
      <w:tr>
        <w:tc>
          <w:tcPr>
            <w:tcW w:type="dxa" w:w="3402"/>
          </w:tcPr>
          <w:p>
            <w:r>
              <w:rPr>
                <w:sz w:val="20"/>
              </w:rPr>
              <w:t>OpenZeppelin ReentrancyGuard</w:t>
            </w:r>
          </w:p>
        </w:tc>
        <w:tc>
          <w:tcPr>
            <w:tcW w:type="dxa" w:w="1417"/>
          </w:tcPr>
          <w:p>
            <w:r>
              <w:rPr>
                <w:sz w:val="20"/>
              </w:rPr>
              <w:t>YAPILDI</w:t>
            </w:r>
          </w:p>
        </w:tc>
        <w:tc>
          <w:tcPr>
            <w:tcW w:type="dxa" w:w="4252"/>
          </w:tcPr>
          <w:p>
            <w:r>
              <w:rPr>
                <w:sz w:val="20"/>
              </w:rPr>
              <w:t>nonReentrant + CEI pattern uygulandı</w:t>
            </w:r>
          </w:p>
        </w:tc>
      </w:tr>
      <w:tr>
        <w:tc>
          <w:tcPr>
            <w:tcW w:type="dxa" w:w="3402"/>
          </w:tcPr>
          <w:p>
            <w:r>
              <w:rPr>
                <w:sz w:val="20"/>
              </w:rPr>
              <w:t>EIP-155 nonce-based replay koruması</w:t>
            </w:r>
          </w:p>
        </w:tc>
        <w:tc>
          <w:tcPr>
            <w:tcW w:type="dxa" w:w="1417"/>
          </w:tcPr>
          <w:p>
            <w:r>
              <w:rPr>
                <w:sz w:val="20"/>
              </w:rPr>
              <w:t>YAPILDI</w:t>
            </w:r>
          </w:p>
        </w:tc>
        <w:tc>
          <w:tcPr>
            <w:tcW w:type="dxa" w:w="4252"/>
          </w:tcPr>
          <w:p>
            <w:r>
              <w:rPr>
                <w:sz w:val="20"/>
              </w:rPr>
              <w:t>txIndex + chainId + contract address</w:t>
            </w:r>
          </w:p>
        </w:tc>
      </w:tr>
      <w:tr>
        <w:tc>
          <w:tcPr>
            <w:tcW w:type="dxa" w:w="3402"/>
          </w:tcPr>
          <w:p>
            <w:r>
              <w:rPr>
                <w:sz w:val="20"/>
              </w:rPr>
              <w:t>Python + Web3.py backend</w:t>
            </w:r>
          </w:p>
        </w:tc>
        <w:tc>
          <w:tcPr>
            <w:tcW w:type="dxa" w:w="1417"/>
          </w:tcPr>
          <w:p>
            <w:r>
              <w:rPr>
                <w:sz w:val="20"/>
              </w:rPr>
              <w:t>YAPILDI</w:t>
            </w:r>
          </w:p>
        </w:tc>
        <w:tc>
          <w:tcPr>
            <w:tcW w:type="dxa" w:w="4252"/>
          </w:tcPr>
          <w:p>
            <w:r>
              <w:rPr>
                <w:sz w:val="20"/>
              </w:rPr>
              <w:t>wallet_service.py — 12 fonksiyon</w:t>
            </w:r>
          </w:p>
        </w:tc>
      </w:tr>
      <w:tr>
        <w:tc>
          <w:tcPr>
            <w:tcW w:type="dxa" w:w="3402"/>
          </w:tcPr>
          <w:p>
            <w:r>
              <w:rPr>
                <w:sz w:val="20"/>
              </w:rPr>
              <w:t>Streamlit dashboard</w:t>
            </w:r>
          </w:p>
        </w:tc>
        <w:tc>
          <w:tcPr>
            <w:tcW w:type="dxa" w:w="1417"/>
          </w:tcPr>
          <w:p>
            <w:r>
              <w:rPr>
                <w:sz w:val="20"/>
              </w:rPr>
              <w:t>YAPILDI</w:t>
            </w:r>
          </w:p>
        </w:tc>
        <w:tc>
          <w:tcPr>
            <w:tcW w:type="dxa" w:w="4252"/>
          </w:tcPr>
          <w:p>
            <w:r>
              <w:rPr>
                <w:sz w:val="20"/>
              </w:rPr>
              <w:t>Login, session persistence, tüm işlemler UI'dan</w:t>
            </w:r>
          </w:p>
        </w:tc>
      </w:tr>
      <w:tr>
        <w:tc>
          <w:tcPr>
            <w:tcW w:type="dxa" w:w="3402"/>
          </w:tcPr>
          <w:p>
            <w:r>
              <w:rPr>
                <w:sz w:val="20"/>
              </w:rPr>
              <w:t>Sepolia testnet deploy</w:t>
            </w:r>
          </w:p>
        </w:tc>
        <w:tc>
          <w:tcPr>
            <w:tcW w:type="dxa" w:w="1417"/>
          </w:tcPr>
          <w:p>
            <w:r>
              <w:rPr>
                <w:sz w:val="20"/>
              </w:rPr>
              <w:t>YAPILDI</w:t>
            </w:r>
          </w:p>
        </w:tc>
        <w:tc>
          <w:tcPr>
            <w:tcW w:type="dxa" w:w="4252"/>
          </w:tcPr>
          <w:p>
            <w:r>
              <w:rPr>
                <w:sz w:val="20"/>
              </w:rPr>
              <w:t>0x5cD9338E23dec13b985DAE792E2D4E419B9443e4</w:t>
            </w:r>
          </w:p>
        </w:tc>
      </w:tr>
      <w:tr>
        <w:tc>
          <w:tcPr>
            <w:tcW w:type="dxa" w:w="3402"/>
          </w:tcPr>
          <w:p>
            <w:r>
              <w:rPr>
                <w:sz w:val="20"/>
              </w:rPr>
              <w:t>emergencyPause mekanizması</w:t>
            </w:r>
          </w:p>
        </w:tc>
        <w:tc>
          <w:tcPr>
            <w:tcW w:type="dxa" w:w="1417"/>
          </w:tcPr>
          <w:p>
            <w:r>
              <w:rPr>
                <w:sz w:val="20"/>
              </w:rPr>
              <w:t>YAPILDI</w:t>
            </w:r>
          </w:p>
        </w:tc>
        <w:tc>
          <w:tcPr>
            <w:tcW w:type="dxa" w:w="4252"/>
          </w:tcPr>
          <w:p>
            <w:r>
              <w:rPr>
                <w:sz w:val="20"/>
              </w:rPr>
              <w:t>pause()/unpause() + whenNotPaused + UI butonu</w:t>
            </w:r>
          </w:p>
        </w:tc>
      </w:tr>
      <w:tr>
        <w:tc>
          <w:tcPr>
            <w:tcW w:type="dxa" w:w="3402"/>
          </w:tcPr>
          <w:p>
            <w:r>
              <w:rPr>
                <w:sz w:val="20"/>
              </w:rPr>
              <w:t>Time-lock mekanizması</w:t>
            </w:r>
          </w:p>
        </w:tc>
        <w:tc>
          <w:tcPr>
            <w:tcW w:type="dxa" w:w="1417"/>
          </w:tcPr>
          <w:p>
            <w:r>
              <w:rPr>
                <w:sz w:val="20"/>
              </w:rPr>
              <w:t>YAPILDI</w:t>
            </w:r>
          </w:p>
        </w:tc>
        <w:tc>
          <w:tcPr>
            <w:tcW w:type="dxa" w:w="4252"/>
          </w:tcPr>
          <w:p>
            <w:r>
              <w:rPr>
                <w:sz w:val="20"/>
              </w:rPr>
              <w:t>Kontrakta var; demo için 0s, changeTimeLockDuration ile ayarlanabilir</w:t>
            </w:r>
          </w:p>
        </w:tc>
      </w:tr>
      <w:tr>
        <w:tc>
          <w:tcPr>
            <w:tcW w:type="dxa" w:w="3402"/>
          </w:tcPr>
          <w:p>
            <w:r>
              <w:rPr>
                <w:sz w:val="20"/>
              </w:rPr>
              <w:t>addOwner/removeOwner UI</w:t>
            </w:r>
          </w:p>
        </w:tc>
        <w:tc>
          <w:tcPr>
            <w:tcW w:type="dxa" w:w="1417"/>
          </w:tcPr>
          <w:p>
            <w:r>
              <w:rPr>
                <w:sz w:val="20"/>
              </w:rPr>
              <w:t>YAPILDI</w:t>
            </w:r>
          </w:p>
        </w:tc>
        <w:tc>
          <w:tcPr>
            <w:tcW w:type="dxa" w:w="4252"/>
          </w:tcPr>
          <w:p>
            <w:r>
              <w:rPr>
                <w:sz w:val="20"/>
              </w:rPr>
              <w:t>Owner Yönetimi paneli — multi-sig konsensüsüyle</w:t>
            </w:r>
          </w:p>
        </w:tc>
      </w:tr>
      <w:tr>
        <w:tc>
          <w:tcPr>
            <w:tcW w:type="dxa" w:w="3402"/>
          </w:tcPr>
          <w:p>
            <w:r>
              <w:rPr>
                <w:sz w:val="20"/>
              </w:rPr>
              <w:t>Slither statik analiz</w:t>
            </w:r>
          </w:p>
        </w:tc>
        <w:tc>
          <w:tcPr>
            <w:tcW w:type="dxa" w:w="1417"/>
          </w:tcPr>
          <w:p>
            <w:r>
              <w:rPr>
                <w:sz w:val="20"/>
              </w:rPr>
              <w:t>YAPILDI</w:t>
            </w:r>
          </w:p>
        </w:tc>
        <w:tc>
          <w:tcPr>
            <w:tcW w:type="dxa" w:w="4252"/>
          </w:tcPr>
          <w:p>
            <w:r>
              <w:rPr>
                <w:sz w:val="20"/>
              </w:rPr>
              <w:t>0 kritik, 0 yüksek seviye açık</w:t>
            </w:r>
          </w:p>
        </w:tc>
      </w:tr>
      <w:tr>
        <w:tc>
          <w:tcPr>
            <w:tcW w:type="dxa" w:w="3402"/>
          </w:tcPr>
          <w:p>
            <w:r>
              <w:rPr>
                <w:sz w:val="20"/>
              </w:rPr>
              <w:t>Gas analizi — Gnosis Safe karşılaştırması</w:t>
            </w:r>
          </w:p>
        </w:tc>
        <w:tc>
          <w:tcPr>
            <w:tcW w:type="dxa" w:w="1417"/>
          </w:tcPr>
          <w:p>
            <w:r>
              <w:rPr>
                <w:sz w:val="20"/>
              </w:rPr>
              <w:t>YAPILDI</w:t>
            </w:r>
          </w:p>
        </w:tc>
        <w:tc>
          <w:tcPr>
            <w:tcW w:type="dxa" w:w="4252"/>
          </w:tcPr>
          <w:p>
            <w:r>
              <w:rPr>
                <w:sz w:val="20"/>
              </w:rPr>
              <w:t>benchmark script, tablo halinde raporlandı</w:t>
            </w:r>
          </w:p>
        </w:tc>
      </w:tr>
      <w:tr>
        <w:tc>
          <w:tcPr>
            <w:tcW w:type="dxa" w:w="3402"/>
          </w:tcPr>
          <w:p>
            <w:r>
              <w:rPr>
                <w:sz w:val="20"/>
              </w:rPr>
              <w:t>Otomatik test paketi</w:t>
            </w:r>
          </w:p>
        </w:tc>
        <w:tc>
          <w:tcPr>
            <w:tcW w:type="dxa" w:w="1417"/>
          </w:tcPr>
          <w:p>
            <w:r>
              <w:rPr>
                <w:sz w:val="20"/>
              </w:rPr>
              <w:t>YAPILDI</w:t>
            </w:r>
          </w:p>
        </w:tc>
        <w:tc>
          <w:tcPr>
            <w:tcW w:type="dxa" w:w="4252"/>
          </w:tcPr>
          <w:p>
            <w:r>
              <w:rPr>
                <w:sz w:val="20"/>
              </w:rPr>
              <w:t>33 test, 7 sınıf, tamamı geçiyor</w:t>
            </w:r>
          </w:p>
        </w:tc>
      </w:tr>
      <w:tr>
        <w:tc>
          <w:tcPr>
            <w:tcW w:type="dxa" w:w="3402"/>
          </w:tcPr>
          <w:p>
            <w:r>
              <w:rPr>
                <w:sz w:val="20"/>
              </w:rPr>
              <w:t>Saldırı simülasyon testleri</w:t>
            </w:r>
          </w:p>
        </w:tc>
        <w:tc>
          <w:tcPr>
            <w:tcW w:type="dxa" w:w="1417"/>
          </w:tcPr>
          <w:p>
            <w:r>
              <w:rPr>
                <w:sz w:val="20"/>
              </w:rPr>
              <w:t>YAPILDI</w:t>
            </w:r>
          </w:p>
        </w:tc>
        <w:tc>
          <w:tcPr>
            <w:tcW w:type="dxa" w:w="4252"/>
          </w:tcPr>
          <w:p>
            <w:r>
              <w:rPr>
                <w:sz w:val="20"/>
              </w:rPr>
              <w:t>Replay, Reentrancy, Quorum, Pause testleri</w:t>
            </w:r>
          </w:p>
        </w:tc>
      </w:tr>
      <w:tr>
        <w:tc>
          <w:tcPr>
            <w:tcW w:type="dxa" w:w="3402"/>
          </w:tcPr>
          <w:p>
            <w:r>
              <w:rPr>
                <w:sz w:val="20"/>
              </w:rPr>
              <w:t>Mythril sembolik analiz</w:t>
            </w:r>
          </w:p>
        </w:tc>
        <w:tc>
          <w:tcPr>
            <w:tcW w:type="dxa" w:w="1417"/>
          </w:tcPr>
          <w:p>
            <w:r>
              <w:rPr>
                <w:sz w:val="20"/>
              </w:rPr>
              <w:t>ATILDI</w:t>
            </w:r>
          </w:p>
        </w:tc>
        <w:tc>
          <w:tcPr>
            <w:tcW w:type="dxa" w:w="4252"/>
          </w:tcPr>
          <w:p>
            <w:r>
              <w:rPr>
                <w:sz w:val="20"/>
              </w:rPr>
              <w:t>Docker bağımlılığı; Slither kapsamlı sonuçlar verdi</w:t>
            </w:r>
          </w:p>
        </w:tc>
      </w:tr>
      <w:tr>
        <w:tc>
          <w:tcPr>
            <w:tcW w:type="dxa" w:w="3402"/>
          </w:tcPr>
          <w:p>
            <w:r>
              <w:rPr>
                <w:sz w:val="20"/>
              </w:rPr>
              <w:t>%90+ code coverage ölçümü</w:t>
            </w:r>
          </w:p>
        </w:tc>
        <w:tc>
          <w:tcPr>
            <w:tcW w:type="dxa" w:w="1417"/>
          </w:tcPr>
          <w:p>
            <w:r>
              <w:rPr>
                <w:sz w:val="20"/>
              </w:rPr>
              <w:t>ATILDI</w:t>
            </w:r>
          </w:p>
        </w:tc>
        <w:tc>
          <w:tcPr>
            <w:tcW w:type="dxa" w:w="4252"/>
          </w:tcPr>
          <w:p>
            <w:r>
              <w:rPr>
                <w:sz w:val="20"/>
              </w:rPr>
              <w:t>Hardhat 3.x ile solidity-coverage uyumsuz; 33 test tüm public fonksiyonları kapsıyor</w:t>
            </w:r>
          </w:p>
        </w:tc>
      </w:tr>
      <w:tr>
        <w:tc>
          <w:tcPr>
            <w:tcW w:type="dxa" w:w="3402"/>
          </w:tcPr>
          <w:p>
            <w:r>
              <w:rPr>
                <w:sz w:val="20"/>
              </w:rPr>
              <w:t>EIP-712 off-chain imza toplama</w:t>
            </w:r>
          </w:p>
        </w:tc>
        <w:tc>
          <w:tcPr>
            <w:tcW w:type="dxa" w:w="1417"/>
          </w:tcPr>
          <w:p>
            <w:r>
              <w:rPr>
                <w:sz w:val="20"/>
              </w:rPr>
              <w:t>ATILDI</w:t>
            </w:r>
          </w:p>
        </w:tc>
        <w:tc>
          <w:tcPr>
            <w:tcW w:type="dxa" w:w="4252"/>
          </w:tcPr>
          <w:p>
            <w:r>
              <w:rPr>
                <w:sz w:val="20"/>
              </w:rPr>
              <w:t>Karmaşıklık nedeniyle on-chain yaklaşım tercih edildi; gas farkı analiz raporunda gösterildi</w:t>
            </w:r>
          </w:p>
        </w:tc>
      </w:tr>
    </w:tbl>
    <w:p>
      <w:pPr>
        <w:spacing w:before="80" w:after="80"/>
      </w:pPr>
      <w:r>
        <w:rPr>
          <w:color w:val="CCCCCC"/>
          <w:sz w:val="16"/>
        </w:rPr>
        <w:t>────────────────────────────────────────────────────────────────────────────────</w:t>
      </w:r>
    </w:p>
    <w:p>
      <w:pPr>
        <w:pStyle w:val="Heading1"/>
      </w:pPr>
      <w:r>
        <w:t>11. Projenin Çalıştırılması</w:t>
      </w:r>
    </w:p>
    <w:p>
      <w:r>
        <w:rPr>
          <w:b/>
          <w:sz w:val="22"/>
        </w:rPr>
        <w:t>Gereksinimler:</w:t>
      </w:r>
    </w:p>
    <w:p>
      <w:pPr>
        <w:pStyle w:val="ListBullet"/>
        <w:ind w:left="283"/>
      </w:pPr>
      <w:r>
        <w:rPr>
          <w:sz w:val="21"/>
        </w:rPr>
        <w:t>Node.js v18+, Python 3.9+</w:t>
      </w:r>
    </w:p>
    <w:p>
      <w:pPr>
        <w:pStyle w:val="ListBullet"/>
        <w:ind w:left="283"/>
      </w:pPr>
      <w:r>
        <w:rPr>
          <w:sz w:val="21"/>
        </w:rPr>
        <w:t>npm install  (proje kökünde)</w:t>
      </w:r>
    </w:p>
    <w:p>
      <w:pPr>
        <w:pStyle w:val="ListBullet"/>
        <w:ind w:left="283"/>
      </w:pPr>
      <w:r>
        <w:rPr>
          <w:sz w:val="21"/>
        </w:rPr>
        <w:t>pip install -r irem/requirements.txt</w:t>
      </w:r>
    </w:p>
    <w:p/>
    <w:p>
      <w:r>
        <w:rPr>
          <w:b/>
          <w:sz w:val="22"/>
        </w:rPr>
        <w:t>Adım 1 — Lokal test (Hardhat node):</w:t>
      </w:r>
    </w:p>
    <w:p>
      <w:pPr>
        <w:spacing w:before="40" w:after="40"/>
        <w:ind w:left="567"/>
      </w:pPr>
      <w:r>
        <w:rPr>
          <w:rFonts w:ascii="Courier New" w:hAnsi="Courier New"/>
          <w:color w:val="1A1A2E"/>
          <w:sz w:val="18"/>
        </w:rPr>
        <w:t>Terminal 1:  npx hardhat node</w:t>
      </w:r>
    </w:p>
    <w:p>
      <w:pPr>
        <w:spacing w:before="40" w:after="40"/>
        <w:ind w:left="567"/>
      </w:pPr>
      <w:r>
        <w:rPr>
          <w:rFonts w:ascii="Courier New" w:hAnsi="Courier New"/>
          <w:color w:val="1A1A2E"/>
          <w:sz w:val="18"/>
        </w:rPr>
        <w:t>Terminal 2:  python -m pytest test/test_multisig.py -v</w:t>
      </w:r>
    </w:p>
    <w:p>
      <w:pPr>
        <w:spacing w:before="40" w:after="40"/>
        <w:ind w:left="567"/>
      </w:pPr>
      <w:r>
        <w:rPr>
          <w:rFonts w:ascii="Courier New" w:hAnsi="Courier New"/>
          <w:color w:val="1A1A2E"/>
          <w:sz w:val="18"/>
        </w:rPr>
        <w:t xml:space="preserve">             python test/gas_benchmark.py</w:t>
      </w:r>
    </w:p>
    <w:p/>
    <w:p>
      <w:r>
        <w:rPr>
          <w:b/>
          <w:sz w:val="22"/>
        </w:rPr>
        <w:t>Adım 2 — Streamlit arayüzü (Sepolia):</w:t>
      </w:r>
    </w:p>
    <w:p>
      <w:pPr>
        <w:spacing w:before="40" w:after="40"/>
        <w:ind w:left="567"/>
      </w:pPr>
      <w:r>
        <w:rPr>
          <w:rFonts w:ascii="Courier New" w:hAnsi="Courier New"/>
          <w:color w:val="1A1A2E"/>
          <w:sz w:val="18"/>
        </w:rPr>
        <w:t>cd irem</w:t>
      </w:r>
    </w:p>
    <w:p>
      <w:pPr>
        <w:spacing w:before="40" w:after="40"/>
        <w:ind w:left="567"/>
      </w:pPr>
      <w:r>
        <w:rPr>
          <w:rFonts w:ascii="Courier New" w:hAnsi="Courier New"/>
          <w:color w:val="1A1A2E"/>
          <w:sz w:val="18"/>
        </w:rPr>
        <w:t>streamlit run app.py</w:t>
      </w:r>
    </w:p>
    <w:p>
      <w:pPr>
        <w:spacing w:before="40" w:after="40"/>
        <w:ind w:left="567"/>
      </w:pPr>
      <w:r>
        <w:rPr>
          <w:rFonts w:ascii="Courier New" w:hAnsi="Courier New"/>
          <w:color w:val="1A1A2E"/>
          <w:sz w:val="18"/>
        </w:rPr>
        <w:t>Tarayici: http://localhost:8501</w:t>
      </w:r>
    </w:p>
    <w:p>
      <w:pPr>
        <w:spacing w:before="40" w:after="40"/>
        <w:ind w:left="567"/>
      </w:pPr>
      <w:r>
        <w:rPr>
          <w:rFonts w:ascii="Courier New" w:hAnsi="Courier New"/>
          <w:color w:val="1A1A2E"/>
          <w:sz w:val="18"/>
        </w:rPr>
        <w:t>Private Key ve Kontrat Adresi ile giris yapilir.</w:t>
      </w:r>
    </w:p>
    <w:p/>
    <w:p>
      <w:r>
        <w:rPr>
          <w:b/>
          <w:sz w:val="22"/>
        </w:rPr>
        <w:t>Adım 3 — Statik analiz:</w:t>
      </w:r>
    </w:p>
    <w:p>
      <w:pPr>
        <w:spacing w:before="40" w:after="40"/>
        <w:ind w:left="567"/>
      </w:pPr>
      <w:r>
        <w:rPr>
          <w:rFonts w:ascii="Courier New" w:hAnsi="Courier New"/>
          <w:color w:val="1A1A2E"/>
          <w:sz w:val="18"/>
        </w:rPr>
        <w:t>slither contracts/MultiSigWallet.sol --solc-remaps "@openzeppelin/contracts/=node_modules/@openzeppelin/contracts/"</w:t>
      </w:r>
    </w:p>
    <w:p>
      <w:pPr>
        <w:spacing w:before="80" w:after="80"/>
      </w:pPr>
      <w:r>
        <w:rPr>
          <w:color w:val="CCCCCC"/>
          <w:sz w:val="16"/>
        </w:rPr>
        <w:t>────────────────────────────────────────────────────────────────────────────────</w:t>
      </w:r>
    </w:p>
    <w:p/>
    <w:p>
      <w:pPr>
        <w:jc w:val="center"/>
      </w:pPr>
      <w:r>
        <w:rPr>
          <w:color w:val="888888"/>
          <w:sz w:val="18"/>
        </w:rPr>
        <w:t>COM 4532 Blockchain Technology and Public Ledgers  |  Ankara Üniversitesi  |  16.06.2026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