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29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The project has been checked against an outside source for the first time, and it passed.</w:t>
            </w:r>
            <w:r>
              <w:rPr>
                <w:rFonts w:ascii="Calibri" w:hAnsi="Calibri"/>
                <w:b w:val="0"/>
                <w:color w:val="464B52"/>
                <w:sz w:val="20"/>
              </w:rPr>
              <w:t xml:space="preserve"> 81.8% of the people we classified were put in the audience they put themselves in — against a ceiling of 88.9%, which is how often people agree with their own earlier answer. Section 5 is new and covers it.</w:t>
            </w:r>
          </w:p>
          <w:p>
            <w:pPr>
              <w:spacing w:after="40"/>
            </w:pPr>
          </w:p>
          <w:p>
            <w:pPr>
              <w:spacing w:after="40"/>
            </w:pPr>
            <w:r>
              <w:rPr>
                <w:rFonts w:ascii="Calibri" w:hAnsi="Calibri"/>
                <w:b/>
                <w:color w:val="464B52"/>
                <w:sz w:val="20"/>
              </w:rPr>
              <w:t>Nine more corrections landed</w:t>
            </w:r>
            <w:r>
              <w:rPr>
                <w:rFonts w:ascii="Calibri" w:hAnsi="Calibri"/>
                <w:b w:val="0"/>
                <w:color w:val="464B52"/>
                <w:sz w:val="20"/>
              </w:rPr>
              <w:t xml:space="preserve"> from the synonym check, and all fourteen outstanding corrections are now live in the dictionary.</w:t>
            </w:r>
          </w:p>
          <w:p>
            <w:pPr>
              <w:spacing w:after="40"/>
            </w:pP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we took the whole hospital path out. About 2,000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The synonym-split check is written</w:t>
            </w:r>
            <w:r>
              <w:rPr>
                <w:rFonts w:ascii="Calibri" w:hAnsi="Calibri"/>
                <w:b w:val="0"/>
                <w:color w:val="464B52"/>
                <w:sz w:val="20"/>
              </w:rPr>
              <w:t xml:space="preserve"> (`analyses/28`). It is step 1 of the taxonomy plan on page 5 and it needs no judgement — 124 groups, 254 pairs, one query.</w:t>
            </w:r>
          </w:p>
          <w:p>
            <w:pPr>
              <w:spacing w:after="40"/>
            </w:pPr>
          </w:p>
          <w:p>
            <w:pPr>
              <w:spacing w:after="40"/>
            </w:pPr>
            <w:r>
              <w:rPr>
                <w:rFonts w:ascii="Calibri" w:hAnsi="Calibri"/>
                <w:b w:val="0"/>
                <w:color w:val="464B52"/>
                <w:sz w:val="20"/>
              </w:rPr>
              <w:t xml:space="preserve">A build has run, and </w:t>
            </w:r>
            <w:r>
              <w:rPr>
                <w:rFonts w:ascii="Calibri" w:hAnsi="Calibri"/>
                <w:b/>
                <w:color w:val="464B52"/>
                <w:sz w:val="20"/>
              </w:rPr>
              <w:t>four of the five corrections landed</w:t>
            </w:r>
            <w:r>
              <w:rPr>
                <w:rFonts w:ascii="Calibri" w:hAnsi="Calibri"/>
                <w:b w:val="0"/>
                <w:color w:val="464B52"/>
                <w:sz w:val="20"/>
              </w:rPr>
              <w:t>. `pi`, `fellow`, `medical director` and `director of research` all now show as human decisions in the dictionary — 80,417 records. The fifth, `assistant research professor` (14,060 records), was pushed after that build and needs the next one.</w:t>
            </w:r>
          </w:p>
          <w:p>
            <w:pPr>
              <w:spacing w:after="40"/>
            </w:pPr>
          </w:p>
          <w:p>
            <w:pPr>
              <w:spacing w:after="40"/>
            </w:pPr>
            <w:r>
              <w:rPr>
                <w:rFonts w:ascii="Calibri" w:hAnsi="Calibri"/>
                <w:b/>
                <w:color w:val="464B52"/>
                <w:sz w:val="20"/>
              </w:rPr>
              <w:t>One side effect was predicted and has now been measured: 145 people.</w:t>
            </w:r>
            <w:r>
              <w:rPr>
                <w:rFonts w:ascii="Calibri" w:hAnsi="Calibri"/>
                <w:b w:val="0"/>
                <w:color w:val="464B52"/>
                <w:sz w:val="20"/>
              </w:rPr>
              <w:t xml:space="preserve"> It is not settled. See the last page.</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1,656,354</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801,282</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12,024,436</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8,343,585</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1,917,931</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6.</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953,819</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74,941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21,832</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1,968,320</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1,458,782</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It is also written in English, so every foreign word we use is missing: `dirigente medico`, `apotheker`, `pharmacien`, `eczaci`, `docente`, `dozent`, `wissenschaftlicher mitarbeiter`.</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 ARRIVED, and measured in section 5</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Both exports arrived on 30 October and have been used.</w:t>
      </w:r>
      <w:r>
        <w:rPr>
          <w:rFonts w:ascii="Calibri" w:hAnsi="Calibri"/>
          <w:b w:val="0"/>
          <w:i w:val="0"/>
          <w:color w:val="464B52"/>
          <w:sz w:val="21"/>
        </w:rPr>
        <w:t xml:space="preserve"> 290,045 unique people after deduplication, 93.2% of whom could be mapped onto one of our ten professions. The full result is section 5. The headline: 81.8% of the people we classified were put in the audience they put themselves in, against a ceiling of 88.9%.</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VALIDATION — our answer against what people said about themselves</w:t>
      </w:r>
    </w:p>
    <w:p>
      <w:pPr>
        <w:spacing w:after="120"/>
      </w:pPr>
      <w:r>
        <w:rPr>
          <w:rFonts w:ascii="Calibri" w:hAnsi="Calibri"/>
          <w:b w:val="0"/>
          <w:i w:val="0"/>
          <w:color w:val="464B52"/>
          <w:sz w:val="21"/>
        </w:rPr>
        <w:t>Until the end of October every number in this project came from our own pipeline. Market Intelligence then exported two surveys in which people had picked their own job title from a fixed list and given an email address. That let us compare our answer to the person's own answer for the first time.</w:t>
      </w:r>
    </w:p>
    <w:tbl>
      <w:tblPr>
        <w:tblStyle w:val="TableGrid"/>
        <w:tblW w:type="auto" w:w="0"/>
        <w:jc w:val="left"/>
        <w:tblLook w:firstColumn="1" w:firstRow="1" w:lastColumn="0" w:lastRow="0" w:noHBand="0" w:noVBand="1" w:val="04A0"/>
      </w:tblPr>
      <w:tblGrid>
        <w:gridCol w:w="3216"/>
        <w:gridCol w:w="3216"/>
        <w:gridCol w:w="3216"/>
      </w:tblGrid>
      <w:tr>
        <w:tc>
          <w:tcPr>
            <w:tcW w:type="dxa" w:w="3744"/>
            <w:shd w:val="clear" w:fill="1C1F23"/>
          </w:tcPr>
          <w:p>
            <w:pPr>
              <w:spacing w:after="20"/>
            </w:pPr>
            <w:r>
              <w:rPr>
                <w:rFonts w:ascii="Calibri" w:hAnsi="Calibri"/>
                <w:b/>
                <w:color w:val="FFFFFF"/>
                <w:sz w:val="17"/>
              </w:rPr>
              <w:t>Source</w:t>
            </w:r>
          </w:p>
        </w:tc>
        <w:tc>
          <w:tcPr>
            <w:tcW w:type="dxa" w:w="1728"/>
            <w:shd w:val="clear" w:fill="1C1F23"/>
          </w:tcPr>
          <w:p>
            <w:pPr>
              <w:spacing w:after="20"/>
            </w:pPr>
            <w:r>
              <w:rPr>
                <w:rFonts w:ascii="Calibri" w:hAnsi="Calibri"/>
                <w:b/>
                <w:color w:val="FFFFFF"/>
                <w:sz w:val="17"/>
              </w:rPr>
              <w:t>Rows</w:t>
            </w:r>
          </w:p>
        </w:tc>
        <w:tc>
          <w:tcPr>
            <w:tcW w:type="dxa" w:w="4032"/>
            <w:shd w:val="clear" w:fill="1C1F23"/>
          </w:tcPr>
          <w:p>
            <w:pPr>
              <w:spacing w:after="20"/>
            </w:pPr>
            <w:r>
              <w:rPr>
                <w:rFonts w:ascii="Calibri" w:hAnsi="Calibri"/>
                <w:b/>
                <w:color w:val="FFFFFF"/>
                <w:sz w:val="17"/>
              </w:rPr>
              <w:t>Period</w:t>
            </w:r>
          </w:p>
        </w:tc>
      </w:tr>
      <w:tr>
        <w:tc>
          <w:tcPr>
            <w:tcW w:type="dxa" w:w="3744"/>
          </w:tcPr>
          <w:p>
            <w:pPr>
              <w:spacing w:after="20"/>
            </w:pPr>
            <w:r>
              <w:rPr>
                <w:rFonts w:ascii="Calibri" w:hAnsi="Calibri"/>
                <w:b w:val="0"/>
                <w:color w:val="464B52"/>
                <w:sz w:val="19"/>
              </w:rPr>
              <w:t>Researcher Panel</w:t>
            </w:r>
          </w:p>
        </w:tc>
        <w:tc>
          <w:tcPr>
            <w:tcW w:type="dxa" w:w="1728"/>
          </w:tcPr>
          <w:p>
            <w:pPr>
              <w:spacing w:after="20"/>
            </w:pPr>
            <w:r>
              <w:rPr>
                <w:rFonts w:ascii="Calibri" w:hAnsi="Calibri"/>
                <w:b w:val="0"/>
                <w:color w:val="464B52"/>
                <w:sz w:val="19"/>
              </w:rPr>
              <w:t>232,648</w:t>
            </w:r>
          </w:p>
        </w:tc>
        <w:tc>
          <w:tcPr>
            <w:tcW w:type="dxa" w:w="4032"/>
          </w:tcPr>
          <w:p>
            <w:pPr>
              <w:spacing w:after="20"/>
            </w:pPr>
            <w:r>
              <w:rPr>
                <w:rFonts w:ascii="Calibri" w:hAnsi="Calibri"/>
                <w:b w:val="0"/>
                <w:color w:val="464B52"/>
                <w:sz w:val="19"/>
              </w:rPr>
              <w:t>June 2022 – October 2026</w:t>
            </w:r>
          </w:p>
        </w:tc>
      </w:tr>
      <w:tr>
        <w:tc>
          <w:tcPr>
            <w:tcW w:type="dxa" w:w="3744"/>
            <w:shd w:val="clear" w:fill="F7F7F6"/>
          </w:tcPr>
          <w:p>
            <w:pPr>
              <w:spacing w:after="20"/>
            </w:pPr>
            <w:r>
              <w:rPr>
                <w:rFonts w:ascii="Calibri" w:hAnsi="Calibri"/>
                <w:b w:val="0"/>
                <w:color w:val="464B52"/>
                <w:sz w:val="19"/>
              </w:rPr>
              <w:t>Journal Author Satisfaction</w:t>
            </w:r>
          </w:p>
        </w:tc>
        <w:tc>
          <w:tcPr>
            <w:tcW w:type="dxa" w:w="1728"/>
            <w:shd w:val="clear" w:fill="F7F7F6"/>
          </w:tcPr>
          <w:p>
            <w:pPr>
              <w:spacing w:after="20"/>
            </w:pPr>
            <w:r>
              <w:rPr>
                <w:rFonts w:ascii="Calibri" w:hAnsi="Calibri"/>
                <w:b w:val="0"/>
                <w:color w:val="464B52"/>
                <w:sz w:val="19"/>
              </w:rPr>
              <w:t>109,396</w:t>
            </w:r>
          </w:p>
        </w:tc>
        <w:tc>
          <w:tcPr>
            <w:tcW w:type="dxa" w:w="4032"/>
            <w:shd w:val="clear" w:fill="F7F7F6"/>
          </w:tcPr>
          <w:p>
            <w:pPr>
              <w:spacing w:after="20"/>
            </w:pPr>
            <w:r>
              <w:rPr>
                <w:rFonts w:ascii="Calibri" w:hAnsi="Calibri"/>
                <w:b w:val="0"/>
                <w:color w:val="464B52"/>
                <w:sz w:val="19"/>
              </w:rPr>
              <w:t>April 2024 – October 2026</w:t>
            </w:r>
          </w:p>
        </w:tc>
      </w:tr>
      <w:tr>
        <w:tc>
          <w:tcPr>
            <w:tcW w:type="dxa" w:w="3744"/>
          </w:tcPr>
          <w:p>
            <w:pPr>
              <w:spacing w:after="20"/>
            </w:pPr>
            <w:r>
              <w:rPr>
                <w:rFonts w:ascii="Calibri" w:hAnsi="Calibri"/>
                <w:b/>
                <w:color w:val="464B52"/>
                <w:sz w:val="19"/>
              </w:rPr>
              <w:t>Combined, one answer per person</w:t>
            </w:r>
          </w:p>
        </w:tc>
        <w:tc>
          <w:tcPr>
            <w:tcW w:type="dxa" w:w="1728"/>
          </w:tcPr>
          <w:p>
            <w:pPr>
              <w:spacing w:after="20"/>
            </w:pPr>
            <w:r>
              <w:rPr>
                <w:rFonts w:ascii="Calibri" w:hAnsi="Calibri"/>
                <w:b/>
                <w:color w:val="464B52"/>
                <w:sz w:val="19"/>
              </w:rPr>
              <w:t>290,045</w:t>
            </w:r>
          </w:p>
        </w:tc>
        <w:tc>
          <w:tcPr>
            <w:tcW w:type="dxa" w:w="4032"/>
          </w:tcPr>
          <w:p>
            <w:pPr>
              <w:spacing w:after="20"/>
            </w:pPr>
            <w:r>
              <w:rPr>
                <w:rFonts w:ascii="Calibri" w:hAnsi="Calibri"/>
                <w:b w:val="0"/>
                <w:color w:val="464B52"/>
                <w:sz w:val="19"/>
              </w:rPr>
              <w:t>most recent answer kept</w:t>
            </w:r>
          </w:p>
        </w:tc>
      </w:tr>
    </w:tbl>
    <w:p>
      <w:pPr>
        <w:spacing w:after="40"/>
      </w:pPr>
    </w:p>
    <w:p>
      <w:pPr>
        <w:keepNext/>
        <w:spacing w:before="280" w:after="80"/>
      </w:pPr>
      <w:r>
        <w:rPr>
          <w:rFonts w:ascii="Calibri" w:hAnsi="Calibri"/>
          <w:b/>
          <w:color w:val="1F6F6A"/>
          <w:sz w:val="25"/>
        </w:rPr>
        <w:t>5.1  We measured the ceiling before measuring ourselves</w:t>
      </w:r>
    </w:p>
    <w:p>
      <w:pPr>
        <w:spacing w:after="120"/>
      </w:pPr>
      <w:r>
        <w:rPr>
          <w:rFonts w:ascii="Calibri" w:hAnsi="Calibri"/>
          <w:b w:val="0"/>
          <w:i w:val="0"/>
          <w:color w:val="464B52"/>
          <w:sz w:val="21"/>
        </w:rPr>
        <w:t>34,372 people appear in both surveys, so they declared their own job twice. That gives something rare: a way to find out how reliable the yardstick is before using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PEOPLE DISAGREE WITH THEMSELVES 11% OF THE TIME</w:t>
            </w:r>
          </w:p>
          <w:p>
            <w:pPr>
              <w:spacing w:after="40"/>
            </w:pPr>
            <w:r>
              <w:rPr>
                <w:rFonts w:ascii="Consolas" w:hAnsi="Consolas"/>
                <w:b w:val="0"/>
                <w:color w:val="1C1F23"/>
                <w:sz w:val="19"/>
              </w:rPr>
              <w:t>same person, two surveys, same profession   88.9%</w:t>
            </w:r>
          </w:p>
          <w:p>
            <w:pPr>
              <w:spacing w:after="40"/>
            </w:pPr>
            <w:r>
              <w:rPr>
                <w:rFonts w:ascii="Consolas" w:hAnsi="Consolas"/>
                <w:b w:val="0"/>
                <w:color w:val="1C1F23"/>
                <w:sz w:val="19"/>
              </w:rPr>
              <w:t>same person, two surveys, same words         60.6%</w:t>
            </w:r>
          </w:p>
          <w:p>
            <w:pPr>
              <w:spacing w:after="40"/>
            </w:pPr>
          </w:p>
          <w:p>
            <w:pPr>
              <w:spacing w:after="40"/>
            </w:pPr>
            <w:r>
              <w:rPr>
                <w:rFonts w:ascii="Calibri" w:hAnsi="Calibri"/>
                <w:b w:val="0"/>
                <w:color w:val="464B52"/>
                <w:sz w:val="20"/>
              </w:rPr>
              <w:t xml:space="preserve">So </w:t>
            </w:r>
            <w:r>
              <w:rPr>
                <w:rFonts w:ascii="Calibri" w:hAnsi="Calibri"/>
                <w:b/>
                <w:color w:val="464B52"/>
                <w:sz w:val="20"/>
              </w:rPr>
              <w:t>88.9% is the ceiling</w:t>
            </w:r>
            <w:r>
              <w:rPr>
                <w:rFonts w:ascii="Calibri" w:hAnsi="Calibri"/>
                <w:b w:val="0"/>
                <w:color w:val="464B52"/>
                <w:sz w:val="20"/>
              </w:rPr>
              <w:t>. Nothing we do can score meaningfully above it, and 85% would be close to perfect rather than poor.</w:t>
            </w:r>
          </w:p>
          <w:p>
            <w:pPr>
              <w:spacing w:after="40"/>
            </w:pPr>
          </w:p>
          <w:p>
            <w:pPr>
              <w:spacing w:after="40"/>
            </w:pPr>
            <w:r>
              <w:rPr>
                <w:rFonts w:ascii="Calibri" w:hAnsi="Calibri"/>
                <w:b w:val="0"/>
                <w:color w:val="464B52"/>
                <w:sz w:val="20"/>
              </w:rPr>
              <w:t>Their disagreements are real rather than careless:</w:t>
            </w:r>
          </w:p>
          <w:p>
            <w:pPr>
              <w:spacing w:after="40"/>
            </w:pPr>
          </w:p>
          <w:p>
            <w:pPr>
              <w:spacing w:after="40"/>
            </w:pPr>
            <w:r>
              <w:rPr>
                <w:rFonts w:ascii="Consolas" w:hAnsi="Consolas"/>
                <w:b w:val="0"/>
                <w:color w:val="1C1F23"/>
                <w:sz w:val="19"/>
              </w:rPr>
              <w:t>627  professor in one, research scientist in the other</w:t>
            </w:r>
          </w:p>
          <w:p>
            <w:pPr>
              <w:spacing w:after="40"/>
            </w:pPr>
            <w:r>
              <w:rPr>
                <w:rFonts w:ascii="Consolas" w:hAnsi="Consolas"/>
                <w:b w:val="0"/>
                <w:color w:val="1C1F23"/>
                <w:sz w:val="19"/>
              </w:rPr>
              <w:t>523  professor in one, editor in the other</w:t>
            </w:r>
          </w:p>
          <w:p>
            <w:pPr>
              <w:spacing w:after="40"/>
            </w:pPr>
            <w:r>
              <w:rPr>
                <w:rFonts w:ascii="Consolas" w:hAnsi="Consolas"/>
                <w:b w:val="0"/>
                <w:color w:val="1C1F23"/>
                <w:sz w:val="19"/>
              </w:rPr>
              <w:t>288  head of department in one, professor in the other</w:t>
            </w:r>
          </w:p>
          <w:p>
            <w:pPr>
              <w:spacing w:after="40"/>
            </w:pPr>
            <w:r>
              <w:rPr>
                <w:rFonts w:ascii="Consolas" w:hAnsi="Consolas"/>
                <w:b w:val="0"/>
                <w:color w:val="1C1F23"/>
                <w:sz w:val="19"/>
              </w:rPr>
              <w:t>180  student in one, academic in the other   (time: people move on)</w:t>
            </w:r>
          </w:p>
          <w:p>
            <w:pPr>
              <w:spacing w:after="40"/>
            </w:pPr>
          </w:p>
          <w:p>
            <w:pPr>
              <w:spacing w:after="40"/>
            </w:pPr>
            <w:r>
              <w:rPr>
                <w:rFonts w:ascii="Calibri" w:hAnsi="Calibri"/>
                <w:b w:val="0"/>
                <w:color w:val="464B52"/>
                <w:sz w:val="20"/>
              </w:rPr>
              <w:t>Measuring this first is the point. Without it we would have compared our own number against an implied 100% and called a good result a failure.</w:t>
            </w:r>
          </w:p>
        </w:tc>
      </w:tr>
    </w:tbl>
    <w:p>
      <w:pPr>
        <w:spacing w:after="40"/>
      </w:pPr>
    </w:p>
    <w:p>
      <w:pPr>
        <w:keepNext/>
        <w:spacing w:before="280" w:after="80"/>
      </w:pPr>
      <w:r>
        <w:rPr>
          <w:rFonts w:ascii="Calibri" w:hAnsi="Calibri"/>
          <w:b/>
          <w:color w:val="1F6F6A"/>
          <w:sz w:val="25"/>
        </w:rPr>
        <w:t>5.2  The result</w:t>
      </w:r>
    </w:p>
    <w:p>
      <w:pPr>
        <w:jc w:val="center"/>
      </w:pPr>
      <w:r>
        <w:drawing>
          <wp:inline xmlns:a="http://schemas.openxmlformats.org/drawingml/2006/main" xmlns:pic="http://schemas.openxmlformats.org/drawingml/2006/picture">
            <wp:extent cx="5852160" cy="2288260"/>
            <wp:docPr id="5" name="Picture 5"/>
            <wp:cNvGraphicFramePr>
              <a:graphicFrameLocks noChangeAspect="1"/>
            </wp:cNvGraphicFramePr>
            <a:graphic>
              <a:graphicData uri="http://schemas.openxmlformats.org/drawingml/2006/picture">
                <pic:pic>
                  <pic:nvPicPr>
                    <pic:cNvPr id="0" name="validation.png"/>
                    <pic:cNvPicPr/>
                  </pic:nvPicPr>
                  <pic:blipFill>
                    <a:blip r:embed="rId13"/>
                    <a:stretch>
                      <a:fillRect/>
                    </a:stretch>
                  </pic:blipFill>
                  <pic:spPr>
                    <a:xfrm>
                      <a:off x="0" y="0"/>
                      <a:ext cx="5852160" cy="2288260"/>
                    </a:xfrm>
                    <a:prstGeom prst="rect"/>
                  </pic:spPr>
                </pic:pic>
              </a:graphicData>
            </a:graphic>
          </wp:inline>
        </w:drawing>
      </w:r>
    </w:p>
    <w:p>
      <w:pPr>
        <w:spacing w:after="200"/>
        <w:jc w:val="center"/>
      </w:pPr>
      <w:r>
        <w:rPr>
          <w:rFonts w:ascii="Calibri" w:hAnsi="Calibri"/>
          <w:i/>
          <w:color w:val="6F757E"/>
          <w:sz w:val="17"/>
        </w:rPr>
        <w:t>Of the people we classified, how many did we put where they put themselves.</w:t>
      </w:r>
    </w:p>
    <w:p>
      <w:pPr>
        <w:spacing w:after="120"/>
      </w:pPr>
      <w:r>
        <w:rPr>
          <w:rFonts w:ascii="Calibri" w:hAnsi="Calibri"/>
          <w:b/>
          <w:i w:val="0"/>
          <w:color w:val="464B52"/>
          <w:sz w:val="21"/>
        </w:rPr>
        <w:t>81.8% overall, against a ceiling of 88.9%</w:t>
      </w:r>
      <w:r>
        <w:rPr>
          <w:rFonts w:ascii="Calibri" w:hAnsi="Calibri"/>
          <w:b w:val="0"/>
          <w:i w:val="0"/>
          <w:color w:val="464B52"/>
          <w:sz w:val="21"/>
        </w:rPr>
        <w:t xml:space="preserve"> — 92% of the best obtainable. Lecturer is above the ceiling, but that is the test being easier rather than us being better: the ceiling compared one answer to one answer, while this asks whether our answer is among the roles we gave the person.</w:t>
      </w:r>
    </w:p>
    <w:p>
      <w:pPr>
        <w:keepNext/>
        <w:spacing w:before="280" w:after="80"/>
      </w:pPr>
      <w:r>
        <w:rPr>
          <w:rFonts w:ascii="Calibri" w:hAnsi="Calibri"/>
          <w:b/>
          <w:color w:val="1F6F6A"/>
          <w:sz w:val="25"/>
        </w:rPr>
        <w:t>5.3  The real limit is coverage, not accuracy</w:t>
      </w:r>
    </w:p>
    <w:p>
      <w:pPr>
        <w:jc w:val="center"/>
      </w:pPr>
      <w:r>
        <w:drawing>
          <wp:inline xmlns:a="http://schemas.openxmlformats.org/drawingml/2006/main" xmlns:pic="http://schemas.openxmlformats.org/drawingml/2006/picture">
            <wp:extent cx="5852160" cy="1520243"/>
            <wp:docPr id="6" name="Picture 6"/>
            <wp:cNvGraphicFramePr>
              <a:graphicFrameLocks noChangeAspect="1"/>
            </wp:cNvGraphicFramePr>
            <a:graphic>
              <a:graphicData uri="http://schemas.openxmlformats.org/drawingml/2006/picture">
                <pic:pic>
                  <pic:nvPicPr>
                    <pic:cNvPr id="0" name="validation_funnel.png"/>
                    <pic:cNvPicPr/>
                  </pic:nvPicPr>
                  <pic:blipFill>
                    <a:blip r:embed="rId14"/>
                    <a:stretch>
                      <a:fillRect/>
                    </a:stretch>
                  </pic:blipFill>
                  <pic:spPr>
                    <a:xfrm>
                      <a:off x="0" y="0"/>
                      <a:ext cx="5852160" cy="1520243"/>
                    </a:xfrm>
                    <a:prstGeom prst="rect"/>
                  </pic:spPr>
                </pic:pic>
              </a:graphicData>
            </a:graphic>
          </wp:inline>
        </w:drawing>
      </w:r>
    </w:p>
    <w:p>
      <w:pPr>
        <w:spacing w:after="200"/>
        <w:jc w:val="center"/>
      </w:pPr>
      <w:r>
        <w:rPr>
          <w:rFonts w:ascii="Calibri" w:hAnsi="Calibri"/>
          <w:i/>
          <w:color w:val="6F757E"/>
          <w:sz w:val="17"/>
        </w:rPr>
        <w:t>Where the 290,045 survey respondents go.</w:t>
      </w:r>
    </w:p>
    <w:p>
      <w:pPr>
        <w:spacing w:after="120"/>
      </w:pPr>
      <w:r>
        <w:rPr>
          <w:rFonts w:ascii="Calibri" w:hAnsi="Calibri"/>
          <w:b w:val="0"/>
          <w:i w:val="0"/>
          <w:color w:val="464B52"/>
          <w:sz w:val="21"/>
        </w:rPr>
        <w:t xml:space="preserve">We matched 238,440 of them to somebody in the CDP, and then knew the job of only </w:t>
      </w:r>
      <w:r>
        <w:rPr>
          <w:rFonts w:ascii="Calibri" w:hAnsi="Calibri"/>
          <w:b/>
          <w:i w:val="0"/>
          <w:color w:val="464B52"/>
          <w:sz w:val="21"/>
        </w:rPr>
        <w:t>46,656</w:t>
      </w:r>
      <w:r>
        <w:rPr>
          <w:rFonts w:ascii="Calibri" w:hAnsi="Calibri"/>
          <w:b w:val="0"/>
          <w:i w:val="0"/>
          <w:color w:val="464B52"/>
          <w:sz w:val="21"/>
        </w:rPr>
        <w:t xml:space="preserve"> — a quarter. The rest have no ORCID employment record we can read.</w:t>
      </w:r>
    </w:p>
    <w:p>
      <w:pPr>
        <w:spacing w:after="120"/>
      </w:pPr>
      <w:r>
        <w:rPr>
          <w:rFonts w:ascii="Calibri" w:hAnsi="Calibri"/>
          <w:b w:val="0"/>
          <w:i w:val="0"/>
          <w:color w:val="464B52"/>
          <w:sz w:val="21"/>
        </w:rPr>
        <w:t xml:space="preserve">This confirms from outside what the project has been saying from inside: the ceiling on this work is </w:t>
      </w:r>
      <w:r>
        <w:rPr>
          <w:rFonts w:ascii="Calibri" w:hAnsi="Calibri"/>
          <w:b/>
          <w:i w:val="0"/>
          <w:color w:val="464B52"/>
          <w:sz w:val="21"/>
        </w:rPr>
        <w:t>how many people we can say anything about at all</w:t>
      </w:r>
      <w:r>
        <w:rPr>
          <w:rFonts w:ascii="Calibri" w:hAnsi="Calibri"/>
          <w:b w:val="0"/>
          <w:i w:val="0"/>
          <w:color w:val="464B52"/>
          <w:sz w:val="21"/>
        </w:rPr>
        <w:t>, not how often we are right about the ones we can.</w:t>
      </w:r>
    </w:p>
    <w:p>
      <w:pPr>
        <w:keepNext/>
        <w:spacing w:before="280" w:after="80"/>
      </w:pPr>
      <w:r>
        <w:rPr>
          <w:rFonts w:ascii="Calibri" w:hAnsi="Calibri"/>
          <w:b/>
          <w:color w:val="1F6F6A"/>
          <w:sz w:val="25"/>
        </w:rPr>
        <w:t>5.4  What it found: the one-title-one-group rule</w:t>
      </w:r>
    </w:p>
    <w:p>
      <w:pPr>
        <w:spacing w:after="120"/>
      </w:pPr>
      <w:r>
        <w:rPr>
          <w:rFonts w:ascii="Calibri" w:hAnsi="Calibri"/>
          <w:b w:val="0"/>
          <w:i w:val="0"/>
          <w:color w:val="464B52"/>
          <w:sz w:val="21"/>
        </w:rPr>
        <w:t>Head of Faculty scored 20%, and the Researcher audience 69.9%. The biggest single cause is the same in both, and it is a design choice rather than a bug.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 PROFESSOR CAN ONLY BE ONE THING</w:t>
            </w:r>
          </w:p>
          <w:p>
            <w:pPr>
              <w:spacing w:after="40"/>
            </w:pPr>
            <w:r>
              <w:rPr>
                <w:rFonts w:ascii="Consolas" w:hAnsi="Consolas"/>
                <w:b w:val="0"/>
                <w:color w:val="1C1F23"/>
                <w:sz w:val="19"/>
              </w:rPr>
              <w:t>4,210  said "research scientist"   we said teaching academic</w:t>
            </w:r>
          </w:p>
          <w:p>
            <w:pPr>
              <w:spacing w:after="40"/>
            </w:pPr>
            <w:r>
              <w:rPr>
                <w:rFonts w:ascii="Consolas" w:hAnsi="Consolas"/>
                <w:b w:val="0"/>
                <w:color w:val="1C1F23"/>
                <w:sz w:val="19"/>
              </w:rPr>
              <w:t xml:space="preserve">  654  said "head of department"   we said teaching academic</w:t>
            </w:r>
          </w:p>
          <w:p>
            <w:pPr>
              <w:spacing w:after="40"/>
            </w:pPr>
            <w:r>
              <w:rPr>
                <w:rFonts w:ascii="Consolas" w:hAnsi="Consolas"/>
                <w:b w:val="0"/>
                <w:color w:val="1C1F23"/>
                <w:sz w:val="19"/>
              </w:rPr>
              <w:t>2,602  said "PhD student"          we said teaching academic</w:t>
            </w:r>
          </w:p>
          <w:p>
            <w:pPr>
              <w:spacing w:after="40"/>
            </w:pPr>
          </w:p>
          <w:p>
            <w:pPr>
              <w:spacing w:after="40"/>
            </w:pPr>
            <w:r>
              <w:rPr>
                <w:rFonts w:ascii="Calibri" w:hAnsi="Calibri"/>
                <w:b w:val="0"/>
                <w:color w:val="464B52"/>
                <w:sz w:val="20"/>
              </w:rPr>
              <w:t xml:space="preserve">All of them have </w:t>
            </w:r>
            <w:r>
              <w:rPr>
                <w:rFonts w:ascii="Calibri" w:hAnsi="Calibri"/>
                <w:b/>
                <w:color w:val="464B52"/>
                <w:sz w:val="20"/>
              </w:rPr>
              <w:t>Professor</w:t>
            </w:r>
            <w:r>
              <w:rPr>
                <w:rFonts w:ascii="Calibri" w:hAnsi="Calibri"/>
                <w:b w:val="0"/>
                <w:color w:val="464B52"/>
                <w:sz w:val="20"/>
              </w:rPr>
              <w:t xml:space="preserve"> recorded as their ORCID job title, and a title belongs to exactly one profession in our system. A professor who researches, runs a department or supervises doctoral students is only a lecturer to us.</w:t>
            </w:r>
          </w:p>
          <w:p>
            <w:pPr>
              <w:spacing w:after="40"/>
            </w:pPr>
          </w:p>
          <w:p>
            <w:pPr>
              <w:spacing w:after="40"/>
            </w:pPr>
            <w:r>
              <w:rPr>
                <w:rFonts w:ascii="Calibri" w:hAnsi="Calibri"/>
                <w:b w:val="0"/>
                <w:color w:val="464B52"/>
                <w:sz w:val="20"/>
              </w:rPr>
              <w:t xml:space="preserve">This was already an open question — worth 463,603 records — and it was marked low priority because it is a design change rather than a setting. </w:t>
            </w:r>
            <w:r>
              <w:rPr>
                <w:rFonts w:ascii="Calibri" w:hAnsi="Calibri"/>
                <w:b/>
                <w:color w:val="464B52"/>
                <w:sz w:val="20"/>
              </w:rPr>
              <w:t>It now has outside evidence</w:t>
            </w:r>
            <w:r>
              <w:rPr>
                <w:rFonts w:ascii="Calibri" w:hAnsi="Calibri"/>
                <w:b w:val="0"/>
                <w:color w:val="464B52"/>
                <w:sz w:val="20"/>
              </w:rPr>
              <w:t>: more than ten thousand people describe themselves differently from us, and this rule is why.</w:t>
            </w:r>
          </w:p>
        </w:tc>
      </w:tr>
    </w:tbl>
    <w:p>
      <w:pPr>
        <w:spacing w:after="40"/>
      </w:pPr>
    </w:p>
    <w:p>
      <w:pPr>
        <w:spacing w:after="120"/>
      </w:pPr>
      <w:r>
        <w:rPr>
          <w:rFonts w:ascii="Calibri" w:hAnsi="Calibri"/>
          <w:b w:val="0"/>
          <w:i w:val="0"/>
          <w:color w:val="464B52"/>
          <w:sz w:val="21"/>
        </w:rPr>
        <w:t>Head of Faculty has two further causes, both of them decisions taken deliberately in the last week: it counts current posts only, and it was narrowed to universities only on 29 October.</w:t>
      </w:r>
    </w:p>
    <w:p>
      <w:pPr>
        <w:keepNext/>
        <w:spacing w:before="280" w:after="80"/>
      </w:pPr>
      <w:r>
        <w:rPr>
          <w:rFonts w:ascii="Calibri" w:hAnsi="Calibri"/>
          <w:b/>
          <w:color w:val="1F6F6A"/>
          <w:sz w:val="25"/>
        </w:rPr>
        <w:t>5.5  What this is not</w:t>
      </w:r>
    </w:p>
    <w:p>
      <w:pPr>
        <w:pStyle w:val="ListBullet"/>
        <w:spacing w:after="60"/>
        <w:ind w:left="403"/>
      </w:pPr>
      <w:r>
        <w:rPr>
          <w:rFonts w:ascii="Calibri" w:hAnsi="Calibri"/>
          <w:b/>
          <w:color w:val="464B52"/>
          <w:sz w:val="21"/>
        </w:rPr>
        <w:t>It is not an accuracy rate.</w:t>
      </w:r>
      <w:r>
        <w:rPr>
          <w:rFonts w:ascii="Calibri" w:hAnsi="Calibri"/>
          <w:b w:val="0"/>
          <w:color w:val="464B52"/>
          <w:sz w:val="21"/>
        </w:rPr>
        <w:t xml:space="preserve"> Self-declaration is a second opinion, not a fact. People pick one option from a list to describe a life that has several.</w:t>
      </w:r>
    </w:p>
    <w:p>
      <w:pPr>
        <w:pStyle w:val="ListBullet"/>
        <w:spacing w:after="60"/>
        <w:ind w:left="403"/>
      </w:pPr>
      <w:r>
        <w:rPr>
          <w:rFonts w:ascii="Calibri" w:hAnsi="Calibri"/>
          <w:b/>
          <w:color w:val="464B52"/>
          <w:sz w:val="21"/>
        </w:rPr>
        <w:t>The population is selected.</w:t>
      </w:r>
      <w:r>
        <w:rPr>
          <w:rFonts w:ascii="Calibri" w:hAnsi="Calibri"/>
          <w:b w:val="0"/>
          <w:color w:val="464B52"/>
          <w:sz w:val="21"/>
        </w:rPr>
        <w:t xml:space="preserve"> These are people who publish and who answer surveys. Librarians appear seven times. Students and support staff are barely represented.</w:t>
      </w:r>
    </w:p>
    <w:p>
      <w:pPr>
        <w:pStyle w:val="ListBullet"/>
        <w:spacing w:after="60"/>
        <w:ind w:left="403"/>
      </w:pPr>
      <w:r>
        <w:rPr>
          <w:rFonts w:ascii="Calibri" w:hAnsi="Calibri"/>
          <w:b/>
          <w:color w:val="464B52"/>
          <w:sz w:val="21"/>
        </w:rPr>
        <w:t>Two audiences cannot be checked this way at all</w:t>
      </w:r>
      <w:r>
        <w:rPr>
          <w:rFonts w:ascii="Calibri" w:hAnsi="Calibri"/>
          <w:b w:val="0"/>
          <w:color w:val="464B52"/>
          <w:sz w:val="21"/>
        </w:rPr>
        <w:t xml:space="preserve"> — the survey offers no pharmacist and no librarian option worth the name.</w:t>
      </w:r>
    </w:p>
    <w:p>
      <w:pPr>
        <w:pStyle w:val="ListBullet"/>
        <w:spacing w:after="60"/>
        <w:ind w:left="403"/>
      </w:pPr>
      <w:r>
        <w:rPr>
          <w:rFonts w:ascii="Calibri" w:hAnsi="Calibri"/>
          <w:b/>
          <w:color w:val="464B52"/>
          <w:sz w:val="21"/>
        </w:rPr>
        <w:t>It is repeatable.</w:t>
      </w:r>
      <w:r>
        <w:rPr>
          <w:rFonts w:ascii="Calibri" w:hAnsi="Calibri"/>
          <w:b w:val="0"/>
          <w:color w:val="464B52"/>
          <w:sz w:val="21"/>
        </w:rPr>
        <w:t xml:space="preserve"> The comparison is a query, so it can be re-run after every change as a regression check. That is new, and it is worth more than the single number.</w:t>
      </w:r>
    </w:p>
    <w:p>
      <w:pPr>
        <w:keepNext/>
        <w:spacing w:before="400" w:after="120"/>
      </w:pPr>
      <w:r>
        <w:rPr>
          <w:rFonts w:ascii="Calibri" w:hAnsi="Calibri"/>
          <w:b/>
          <w:color w:val="1C1F23"/>
          <w:sz w:val="32"/>
        </w:rPr>
        <w:t>6.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(DONE 30 October)</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9"/>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9"/>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9"/>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7.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7"/>
              </w:rPr>
              <w:t>research assistant professor` is in Researcher, while `assistant research professor`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7"/>
              </w:rPr>
              <w:t>research director` is a researcher, but `director of research`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7"/>
              </w:rPr>
              <w:t>fellow`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7"/>
              </w:rPr>
              <w:t>pi`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7"/>
              </w:rPr>
              <w:t>statistician` feeds nothing, but `biostatistician` and `bioinformatician`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7"/>
              </w:rPr>
              <w:t>medical director`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7"/>
              </w:rPr>
              <w:t>privatdozent` and `pd`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Check what `pd`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8.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Written as `analyses/28`.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8"/>
              </w:rPr>
              <w:t>is_book_author_communications_opted_in`.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Chloe pointed at `Staging_Response`.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Move `medical director`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`medical director` added 198 people to Clinical Administrator, so the move itself was worth it. And the hospital path into Head of Faculty carried about 2,000 people — 826 `director`, 294 `head of department`, 17 `dean`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