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7508E"/>
          <w:sz w:val="18"/>
        </w:rPr>
        <w:t>SPRINGER NATURE  ·  RESEARCHER 360</w:t>
      </w:r>
    </w:p>
    <w:p>
      <w:pPr>
        <w:spacing w:after="80"/>
      </w:pPr>
      <w:r>
        <w:rPr>
          <w:b/>
          <w:color w:val="1D2733"/>
          <w:sz w:val="52"/>
        </w:rPr>
        <w:t>Role Enrichment from ORCID</w:t>
      </w:r>
    </w:p>
    <w:p>
      <w:pPr>
        <w:spacing w:after="320"/>
      </w:pPr>
      <w:r>
        <w:rPr>
          <w:color w:val="59636E"/>
          <w:sz w:val="26"/>
        </w:rPr>
        <w:t>Findings, method and model performance</w:t>
      </w:r>
    </w:p>
    <w:p>
      <w:pPr>
        <w:spacing w:after="280"/>
      </w:pPr>
      <w:r>
        <w:rPr>
          <w:b w:val="0"/>
          <w:i w:val="0"/>
          <w:color w:val="59636E"/>
          <w:sz w:val="19"/>
        </w:rPr>
        <w:t>1 October 2026  ·  Status: design validated on real data, not yet in production</w:t>
      </w:r>
    </w:p>
    <w:tbl>
      <w:tblPr>
        <w:tblStyle w:val="TableGrid"/>
        <w:tblW w:type="auto" w:w="0"/>
        <w:tblLook w:firstColumn="1" w:firstRow="1" w:lastColumn="0" w:lastRow="0" w:noHBand="0" w:noVBand="1" w:val="04A0"/>
      </w:tblPr>
      <w:tblGrid>
        <w:gridCol w:w="9504"/>
      </w:tblGrid>
      <w:tr>
        <w:tc>
          <w:tcPr>
            <w:tcW w:type="dxa" w:w="9504"/>
            <w:shd w:fill="F2F7FF"/>
          </w:tcPr>
          <w:p>
            <w:pPr>
              <w:spacing w:after="40"/>
            </w:pPr>
            <w:r/>
            <w:r>
              <w:rPr>
                <w:b/>
                <w:color w:val="27508E"/>
                <w:sz w:val="16"/>
              </w:rPr>
              <w:t>PURPOSE OF THIS DOCUMENT</w:t>
            </w:r>
          </w:p>
          <w:p>
            <w:pPr>
              <w:spacing w:after="0"/>
            </w:pPr>
            <w:r>
              <w:rPr>
                <w:color w:val="1D2733"/>
                <w:sz w:val="20"/>
              </w:rPr>
              <w:t>To record what we are building, what the data actually showed when we measured it, how well the model performs, and what is still open. Every figure here was produced by a query against the live ORCID, ROR and CDP tables. Nothing is estimated.</w:t>
            </w:r>
          </w:p>
        </w:tc>
      </w:tr>
    </w:tbl>
    <w:p>
      <w:pPr>
        <w:spacing w:after="120"/>
      </w:pPr>
    </w:p>
    <w:p>
      <w:pPr>
        <w:pStyle w:val="Heading1"/>
      </w:pPr>
      <w:r>
        <w:t>Executive summary</w:t>
      </w:r>
    </w:p>
    <w:p>
      <w:pPr>
        <w:spacing w:after="140"/>
      </w:pPr>
      <w:r>
        <w:rPr>
          <w:b w:val="0"/>
          <w:i w:val="0"/>
          <w:color w:val="1D2733"/>
          <w:sz w:val="21"/>
        </w:rPr>
        <w:t>Marketing needs audiences by professional role — healthcare professionals, pharmacists, researchers, faculty leadership. Today each one is hand-built with regular expressions, which took weeks for the HCP audience alone and still misses every job title not written in English.</w:t>
      </w:r>
    </w:p>
    <w:p>
      <w:pPr>
        <w:spacing w:after="140"/>
      </w:pPr>
      <w:r>
        <w:rPr>
          <w:b w:val="0"/>
          <w:i w:val="0"/>
          <w:color w:val="1D2733"/>
          <w:sz w:val="21"/>
        </w:rPr>
        <w:t>We built a pipeline that classifies the 355,803 distinct job titles in ORCID once, caches the result, and then labels people with a plain database join. The classification uses an embedding model that another team had already provisioned, so no new AI infrastructure was required.</w:t>
      </w:r>
    </w:p>
    <w:p>
      <w:pPr>
        <w:spacing w:after="140"/>
      </w:pPr>
      <w:r>
        <w:rPr>
          <w:b w:val="0"/>
          <w:i w:val="0"/>
          <w:color w:val="1D2733"/>
          <w:sz w:val="21"/>
        </w:rPr>
        <w:t>Five rounds of measurement changed the design substantially. The most important finding was unexpected and is set out in Section 6.</w:t>
      </w:r>
    </w:p>
    <w:tbl>
      <w:tblPr>
        <w:tblStyle w:val="TableGrid"/>
        <w:tblW w:type="auto" w:w="0"/>
        <w:jc w:val="left"/>
        <w:tblLook w:firstColumn="1" w:firstRow="1" w:lastColumn="0" w:lastRow="0" w:noHBand="0" w:noVBand="1" w:val="04A0"/>
      </w:tblPr>
      <w:tblGrid>
        <w:gridCol w:w="3168"/>
        <w:gridCol w:w="3168"/>
        <w:gridCol w:w="3168"/>
      </w:tblGrid>
      <w:tr>
        <w:tc>
          <w:tcPr>
            <w:tcW w:type="dxa" w:w="3600"/>
            <w:shd w:fill="EDF1F5"/>
          </w:tcPr>
          <w:p>
            <w:pPr>
              <w:spacing w:after="40"/>
            </w:pPr>
            <w:r/>
            <w:r>
              <w:rPr>
                <w:b/>
                <w:color w:val="454F5A"/>
                <w:sz w:val="18"/>
              </w:rPr>
              <w:t>Headline</w:t>
            </w:r>
          </w:p>
        </w:tc>
        <w:tc>
          <w:tcPr>
            <w:tcW w:type="dxa" w:w="1872"/>
            <w:shd w:fill="EDF1F5"/>
          </w:tcPr>
          <w:p>
            <w:pPr>
              <w:spacing w:after="40"/>
              <w:jc w:val="right"/>
            </w:pPr>
            <w:r/>
            <w:r>
              <w:rPr>
                <w:b/>
                <w:color w:val="454F5A"/>
                <w:sz w:val="18"/>
              </w:rPr>
              <w:t>Figure</w:t>
            </w:r>
          </w:p>
        </w:tc>
        <w:tc>
          <w:tcPr>
            <w:tcW w:type="dxa" w:w="4176"/>
            <w:shd w:fill="EDF1F5"/>
          </w:tcPr>
          <w:p>
            <w:pPr>
              <w:spacing w:after="40"/>
            </w:pPr>
            <w:r/>
            <w:r>
              <w:rPr>
                <w:b/>
                <w:color w:val="454F5A"/>
                <w:sz w:val="18"/>
              </w:rPr>
              <w:t>Meaning</w:t>
            </w:r>
          </w:p>
        </w:tc>
      </w:tr>
      <w:tr>
        <w:tc>
          <w:tcPr>
            <w:tcW w:type="dxa" w:w="3600"/>
          </w:tcPr>
          <w:p>
            <w:pPr>
              <w:spacing w:after="40"/>
            </w:pPr>
            <w:r/>
            <w:r>
              <w:rPr>
                <w:b w:val="0"/>
                <w:color w:val="1D2733"/>
                <w:sz w:val="19"/>
              </w:rPr>
              <w:t>ORCID profiles available</w:t>
            </w:r>
          </w:p>
        </w:tc>
        <w:tc>
          <w:tcPr>
            <w:tcW w:type="dxa" w:w="1872"/>
          </w:tcPr>
          <w:p>
            <w:pPr>
              <w:spacing w:after="40"/>
              <w:jc w:val="right"/>
            </w:pPr>
            <w:r/>
            <w:r>
              <w:rPr>
                <w:rFonts w:ascii="Consolas" w:hAnsi="Consolas"/>
                <w:b w:val="0"/>
                <w:color w:val="1D2733"/>
                <w:sz w:val="19"/>
              </w:rPr>
              <w:t>24,864,410</w:t>
            </w:r>
          </w:p>
        </w:tc>
        <w:tc>
          <w:tcPr>
            <w:tcW w:type="dxa" w:w="4176"/>
          </w:tcPr>
          <w:p>
            <w:pPr>
              <w:spacing w:after="40"/>
            </w:pPr>
            <w:r/>
            <w:r>
              <w:rPr>
                <w:b w:val="0"/>
                <w:color w:val="1D2733"/>
                <w:sz w:val="19"/>
              </w:rPr>
              <w:t>The raw population</w:t>
            </w:r>
          </w:p>
        </w:tc>
      </w:tr>
      <w:tr>
        <w:tc>
          <w:tcPr>
            <w:tcW w:type="dxa" w:w="3600"/>
          </w:tcPr>
          <w:p>
            <w:pPr>
              <w:spacing w:after="40"/>
            </w:pPr>
            <w:r/>
            <w:r>
              <w:rPr>
                <w:b w:val="0"/>
                <w:color w:val="1D2733"/>
                <w:sz w:val="19"/>
              </w:rPr>
              <w:t>Carry a Springer Nature identity</w:t>
            </w:r>
          </w:p>
        </w:tc>
        <w:tc>
          <w:tcPr>
            <w:tcW w:type="dxa" w:w="1872"/>
          </w:tcPr>
          <w:p>
            <w:pPr>
              <w:spacing w:after="40"/>
              <w:jc w:val="right"/>
            </w:pPr>
            <w:r/>
            <w:r>
              <w:rPr>
                <w:rFonts w:ascii="Consolas" w:hAnsi="Consolas"/>
                <w:b/>
                <w:color w:val="1D2733"/>
                <w:sz w:val="19"/>
              </w:rPr>
              <w:t>1,755,447</w:t>
            </w:r>
          </w:p>
        </w:tc>
        <w:tc>
          <w:tcPr>
            <w:tcW w:type="dxa" w:w="4176"/>
          </w:tcPr>
          <w:p>
            <w:pPr>
              <w:spacing w:after="40"/>
            </w:pPr>
            <w:r/>
            <w:r>
              <w:rPr>
                <w:b w:val="0"/>
                <w:color w:val="1D2733"/>
                <w:sz w:val="19"/>
              </w:rPr>
              <w:t>7.1% — the rest are unreachable</w:t>
            </w:r>
          </w:p>
        </w:tc>
      </w:tr>
      <w:tr>
        <w:tc>
          <w:tcPr>
            <w:tcW w:type="dxa" w:w="3600"/>
          </w:tcPr>
          <w:p>
            <w:pPr>
              <w:spacing w:after="40"/>
            </w:pPr>
            <w:r/>
            <w:r>
              <w:rPr>
                <w:b w:val="0"/>
                <w:color w:val="1D2733"/>
                <w:sz w:val="19"/>
              </w:rPr>
              <w:t>With a usable employment record</w:t>
            </w:r>
          </w:p>
        </w:tc>
        <w:tc>
          <w:tcPr>
            <w:tcW w:type="dxa" w:w="1872"/>
          </w:tcPr>
          <w:p>
            <w:pPr>
              <w:spacing w:after="40"/>
              <w:jc w:val="right"/>
            </w:pPr>
            <w:r/>
            <w:r>
              <w:rPr>
                <w:rFonts w:ascii="Consolas" w:hAnsi="Consolas"/>
                <w:b/>
                <w:color w:val="1D2733"/>
                <w:sz w:val="19"/>
              </w:rPr>
              <w:t>823,427</w:t>
            </w:r>
          </w:p>
        </w:tc>
        <w:tc>
          <w:tcPr>
            <w:tcW w:type="dxa" w:w="4176"/>
          </w:tcPr>
          <w:p>
            <w:pPr>
              <w:spacing w:after="40"/>
            </w:pPr>
            <w:r/>
            <w:r>
              <w:rPr>
                <w:b w:val="0"/>
                <w:color w:val="1D2733"/>
                <w:sz w:val="19"/>
              </w:rPr>
              <w:t>Public visibility and a job title present</w:t>
            </w:r>
          </w:p>
        </w:tc>
      </w:tr>
      <w:tr>
        <w:tc>
          <w:tcPr>
            <w:tcW w:type="dxa" w:w="3600"/>
          </w:tcPr>
          <w:p>
            <w:pPr>
              <w:spacing w:after="40"/>
            </w:pPr>
            <w:r/>
            <w:r>
              <w:rPr>
                <w:b w:val="0"/>
                <w:color w:val="1D2733"/>
                <w:sz w:val="19"/>
              </w:rPr>
              <w:t>Present in CDP</w:t>
            </w:r>
          </w:p>
        </w:tc>
        <w:tc>
          <w:tcPr>
            <w:tcW w:type="dxa" w:w="1872"/>
          </w:tcPr>
          <w:p>
            <w:pPr>
              <w:spacing w:after="40"/>
              <w:jc w:val="right"/>
            </w:pPr>
            <w:r/>
            <w:r>
              <w:rPr>
                <w:rFonts w:ascii="Consolas" w:hAnsi="Consolas"/>
                <w:b w:val="0"/>
                <w:color w:val="1D2733"/>
                <w:sz w:val="19"/>
              </w:rPr>
              <w:t>1,684,121</w:t>
            </w:r>
          </w:p>
        </w:tc>
        <w:tc>
          <w:tcPr>
            <w:tcW w:type="dxa" w:w="4176"/>
          </w:tcPr>
          <w:p>
            <w:pPr>
              <w:spacing w:after="40"/>
            </w:pPr>
            <w:r/>
            <w:r>
              <w:rPr>
                <w:b w:val="0"/>
                <w:color w:val="1D2733"/>
                <w:sz w:val="19"/>
              </w:rPr>
              <w:t>95.9% — identity linkage is not a problem</w:t>
            </w:r>
          </w:p>
        </w:tc>
      </w:tr>
      <w:tr>
        <w:tc>
          <w:tcPr>
            <w:tcW w:type="dxa" w:w="3600"/>
          </w:tcPr>
          <w:p>
            <w:pPr>
              <w:spacing w:after="40"/>
            </w:pPr>
            <w:r/>
            <w:r>
              <w:rPr>
                <w:b w:val="0"/>
                <w:color w:val="1D2733"/>
                <w:sz w:val="19"/>
              </w:rPr>
              <w:t>Marketing consent</w:t>
            </w:r>
          </w:p>
        </w:tc>
        <w:tc>
          <w:tcPr>
            <w:tcW w:type="dxa" w:w="1872"/>
          </w:tcPr>
          <w:p>
            <w:pPr>
              <w:spacing w:after="40"/>
              <w:jc w:val="right"/>
            </w:pPr>
            <w:r/>
            <w:r>
              <w:rPr>
                <w:rFonts w:ascii="Consolas" w:hAnsi="Consolas"/>
                <w:b/>
                <w:color w:val="148A5F"/>
                <w:sz w:val="19"/>
              </w:rPr>
              <w:t>423,904</w:t>
            </w:r>
          </w:p>
        </w:tc>
        <w:tc>
          <w:tcPr>
            <w:tcW w:type="dxa" w:w="4176"/>
          </w:tcPr>
          <w:p>
            <w:pPr>
              <w:spacing w:after="40"/>
            </w:pPr>
            <w:r/>
            <w:r>
              <w:rPr>
                <w:b w:val="0"/>
                <w:color w:val="1D2733"/>
                <w:sz w:val="19"/>
              </w:rPr>
              <w:t>24.1% — consent is the real constraint</w:t>
            </w:r>
          </w:p>
        </w:tc>
      </w:tr>
      <w:tr>
        <w:tc>
          <w:tcPr>
            <w:tcW w:type="dxa" w:w="3600"/>
          </w:tcPr>
          <w:p>
            <w:pPr>
              <w:spacing w:after="40"/>
            </w:pPr>
            <w:r/>
            <w:r>
              <w:rPr>
                <w:b w:val="0"/>
                <w:color w:val="1D2733"/>
                <w:sz w:val="19"/>
              </w:rPr>
              <w:t>Advertising consent</w:t>
            </w:r>
          </w:p>
        </w:tc>
        <w:tc>
          <w:tcPr>
            <w:tcW w:type="dxa" w:w="1872"/>
          </w:tcPr>
          <w:p>
            <w:pPr>
              <w:spacing w:after="40"/>
              <w:jc w:val="right"/>
            </w:pPr>
            <w:r/>
            <w:r>
              <w:rPr>
                <w:rFonts w:ascii="Consolas" w:hAnsi="Consolas"/>
                <w:b/>
                <w:color w:val="148A5F"/>
                <w:sz w:val="19"/>
              </w:rPr>
              <w:t>328,406</w:t>
            </w:r>
          </w:p>
        </w:tc>
        <w:tc>
          <w:tcPr>
            <w:tcW w:type="dxa" w:w="4176"/>
          </w:tcPr>
          <w:p>
            <w:pPr>
              <w:spacing w:after="40"/>
            </w:pPr>
            <w:r/>
            <w:r>
              <w:rPr>
                <w:b w:val="0"/>
                <w:color w:val="1D2733"/>
                <w:sz w:val="19"/>
              </w:rPr>
              <w:t>18.7%</w:t>
            </w:r>
          </w:p>
        </w:tc>
      </w:tr>
      <w:tr>
        <w:tc>
          <w:tcPr>
            <w:tcW w:type="dxa" w:w="3600"/>
            <w:shd w:fill="F2F7FF"/>
          </w:tcPr>
          <w:p>
            <w:pPr>
              <w:spacing w:after="40"/>
            </w:pPr>
            <w:r/>
            <w:r>
              <w:rPr>
                <w:b w:val="0"/>
                <w:color w:val="1D2733"/>
                <w:sz w:val="19"/>
              </w:rPr>
              <w:t>Classification accuracy</w:t>
            </w:r>
          </w:p>
        </w:tc>
        <w:tc>
          <w:tcPr>
            <w:tcW w:type="dxa" w:w="1872"/>
            <w:shd w:fill="F2F7FF"/>
          </w:tcPr>
          <w:p>
            <w:pPr>
              <w:spacing w:after="40"/>
              <w:jc w:val="right"/>
            </w:pPr>
            <w:r/>
            <w:r>
              <w:rPr>
                <w:rFonts w:ascii="Consolas" w:hAnsi="Consolas"/>
                <w:b/>
                <w:color w:val="148A5F"/>
                <w:sz w:val="19"/>
              </w:rPr>
              <w:t>100%</w:t>
            </w:r>
          </w:p>
        </w:tc>
        <w:tc>
          <w:tcPr>
            <w:tcW w:type="dxa" w:w="4176"/>
            <w:shd w:fill="F2F7FF"/>
          </w:tcPr>
          <w:p>
            <w:pPr>
              <w:spacing w:after="40"/>
            </w:pPr>
            <w:r/>
            <w:r>
              <w:rPr>
                <w:b w:val="0"/>
                <w:color w:val="1D2733"/>
                <w:sz w:val="19"/>
              </w:rPr>
              <w:t>64 of 64 on the labelled test set</w:t>
            </w:r>
          </w:p>
        </w:tc>
      </w:tr>
    </w:tbl>
    <w:p>
      <w:pPr>
        <w:spacing w:after="80"/>
      </w:pPr>
    </w:p>
    <w:p>
      <w:pPr>
        <w:spacing w:after="140"/>
      </w:pPr>
      <w:r>
        <w:rPr>
          <w:b w:val="0"/>
          <w:i w:val="0"/>
          <w:color w:val="1D2733"/>
          <w:sz w:val="21"/>
        </w:rPr>
        <w:t>The pipeline is designed so that adding a new role is a configuration change rather than a new engineering project. That is the point of the work, and it is what the measurement exercise was protecting.</w:t>
      </w:r>
    </w:p>
    <w:p>
      <w:r>
        <w:br w:type="page"/>
      </w:r>
    </w:p>
    <w:p>
      <w:pPr>
        <w:pStyle w:val="Heading1"/>
      </w:pPr>
      <w:r>
        <w:t>1.  What we are trying to do</w:t>
      </w:r>
    </w:p>
    <w:p>
      <w:pPr>
        <w:spacing w:after="140"/>
      </w:pPr>
      <w:r>
        <w:rPr>
          <w:b w:val="0"/>
          <w:i w:val="0"/>
          <w:color w:val="1D2733"/>
          <w:sz w:val="21"/>
        </w:rPr>
        <w:t>Three things, in order of importance.</w:t>
      </w:r>
    </w:p>
    <w:p>
      <w:pPr>
        <w:pStyle w:val="Heading3"/>
      </w:pPr>
      <w:r>
        <w:t>Deliver role-based audiences</w:t>
      </w:r>
    </w:p>
    <w:p>
      <w:pPr>
        <w:spacing w:after="140"/>
      </w:pPr>
      <w:r>
        <w:rPr>
          <w:b w:val="0"/>
          <w:i w:val="0"/>
          <w:color w:val="1D2733"/>
          <w:sz w:val="21"/>
        </w:rPr>
        <w:t>Given a role, return the list of Springer Nature identities that hold it, together with the evidence for each one and whether the person can lawfully be contacted.</w:t>
      </w:r>
    </w:p>
    <w:p>
      <w:pPr>
        <w:pStyle w:val="Heading3"/>
      </w:pPr>
      <w:r>
        <w:t>Make adding a role cheap</w:t>
      </w:r>
    </w:p>
    <w:p>
      <w:pPr>
        <w:spacing w:after="140"/>
      </w:pPr>
      <w:r>
        <w:rPr>
          <w:b w:val="0"/>
          <w:i w:val="0"/>
          <w:color w:val="1D2733"/>
          <w:sz w:val="21"/>
        </w:rPr>
        <w:t>The HCP audience took weeks of hand-written rules. The sixth role should take a day. This is the difference between a one-off project and a capability.</w:t>
      </w:r>
    </w:p>
    <w:p>
      <w:pPr>
        <w:pStyle w:val="Heading3"/>
      </w:pPr>
      <w:r>
        <w:t>Work across languages</w:t>
      </w:r>
    </w:p>
    <w:p>
      <w:pPr>
        <w:spacing w:after="140"/>
      </w:pPr>
      <w:r>
        <w:rPr>
          <w:b w:val="0"/>
          <w:i w:val="0"/>
          <w:color w:val="1D2733"/>
          <w:sz w:val="21"/>
        </w:rPr>
        <w:t>ORCID is global. A German cardiologist writes “Oberärztin Kardiologie” and a Turkish one writes “kardiyolog”. Rule-based matching cannot cover this; the existing HCP document names it as a known limitation of the current approach.</w:t>
      </w:r>
    </w:p>
    <w:tbl>
      <w:tblPr>
        <w:tblStyle w:val="TableGrid"/>
        <w:tblW w:type="auto" w:w="0"/>
        <w:tblLook w:firstColumn="1" w:firstRow="1" w:lastColumn="0" w:lastRow="0" w:noHBand="0" w:noVBand="1" w:val="04A0"/>
      </w:tblPr>
      <w:tblGrid>
        <w:gridCol w:w="9504"/>
      </w:tblGrid>
      <w:tr>
        <w:tc>
          <w:tcPr>
            <w:tcW w:type="dxa" w:w="9504"/>
            <w:shd w:fill="F4F6F8"/>
          </w:tcPr>
          <w:p>
            <w:pPr>
              <w:spacing w:after="40"/>
            </w:pPr>
            <w:r/>
            <w:r>
              <w:rPr>
                <w:b/>
                <w:color w:val="59636E"/>
                <w:sz w:val="16"/>
              </w:rPr>
              <w:t>WHAT THIS IS NOT</w:t>
            </w:r>
          </w:p>
          <w:p>
            <w:pPr>
              <w:spacing w:after="0"/>
            </w:pPr>
            <w:r>
              <w:rPr>
                <w:color w:val="1D2733"/>
                <w:sz w:val="20"/>
              </w:rPr>
              <w:t>This is not a replacement for the existing HCP pipeline. It generalises it. The existing HCP output is the benchmark the new system has to reproduce before anything is built on top of it.</w:t>
            </w:r>
          </w:p>
        </w:tc>
      </w:tr>
    </w:tbl>
    <w:p>
      <w:pPr>
        <w:spacing w:after="120"/>
      </w:pPr>
    </w:p>
    <w:p>
      <w:pPr>
        <w:pStyle w:val="Heading1"/>
      </w:pPr>
      <w:r>
        <w:t>2.  What we use</w:t>
      </w:r>
    </w:p>
    <w:tbl>
      <w:tblPr>
        <w:tblStyle w:val="TableGrid"/>
        <w:tblW w:type="auto" w:w="0"/>
        <w:jc w:val="left"/>
        <w:tblLook w:firstColumn="1" w:firstRow="1" w:lastColumn="0" w:lastRow="0" w:noHBand="0" w:noVBand="1" w:val="04A0"/>
      </w:tblPr>
      <w:tblGrid>
        <w:gridCol w:w="3168"/>
        <w:gridCol w:w="3168"/>
        <w:gridCol w:w="3168"/>
      </w:tblGrid>
      <w:tr>
        <w:tc>
          <w:tcPr>
            <w:tcW w:type="dxa" w:w="2088"/>
            <w:shd w:fill="EDF1F5"/>
          </w:tcPr>
          <w:p>
            <w:pPr>
              <w:spacing w:after="40"/>
            </w:pPr>
            <w:r/>
            <w:r>
              <w:rPr>
                <w:b/>
                <w:color w:val="454F5A"/>
                <w:sz w:val="18"/>
              </w:rPr>
              <w:t>Layer</w:t>
            </w:r>
          </w:p>
        </w:tc>
        <w:tc>
          <w:tcPr>
            <w:tcW w:type="dxa" w:w="2952"/>
            <w:shd w:fill="EDF1F5"/>
          </w:tcPr>
          <w:p>
            <w:pPr>
              <w:spacing w:after="40"/>
            </w:pPr>
            <w:r/>
            <w:r>
              <w:rPr>
                <w:b/>
                <w:color w:val="454F5A"/>
                <w:sz w:val="18"/>
              </w:rPr>
              <w:t>Component</w:t>
            </w:r>
          </w:p>
        </w:tc>
        <w:tc>
          <w:tcPr>
            <w:tcW w:type="dxa" w:w="4608"/>
            <w:shd w:fill="EDF1F5"/>
          </w:tcPr>
          <w:p>
            <w:pPr>
              <w:spacing w:after="40"/>
            </w:pPr>
            <w:r/>
            <w:r>
              <w:rPr>
                <w:b/>
                <w:color w:val="454F5A"/>
                <w:sz w:val="18"/>
              </w:rPr>
              <w:t>Why</w:t>
            </w:r>
          </w:p>
        </w:tc>
      </w:tr>
      <w:tr>
        <w:tc>
          <w:tcPr>
            <w:tcW w:type="dxa" w:w="2088"/>
          </w:tcPr>
          <w:p>
            <w:pPr>
              <w:spacing w:after="40"/>
            </w:pPr>
            <w:r/>
            <w:r>
              <w:rPr>
                <w:b w:val="0"/>
                <w:color w:val="1D2733"/>
                <w:sz w:val="19"/>
              </w:rPr>
              <w:t>Data warehouse</w:t>
            </w:r>
          </w:p>
        </w:tc>
        <w:tc>
          <w:tcPr>
            <w:tcW w:type="dxa" w:w="2952"/>
          </w:tcPr>
          <w:p>
            <w:pPr>
              <w:spacing w:after="40"/>
            </w:pPr>
            <w:r/>
            <w:r>
              <w:rPr>
                <w:b w:val="0"/>
                <w:color w:val="1D2733"/>
                <w:sz w:val="19"/>
              </w:rPr>
              <w:t>BigQuery</w:t>
            </w:r>
          </w:p>
        </w:tc>
        <w:tc>
          <w:tcPr>
            <w:tcW w:type="dxa" w:w="4608"/>
          </w:tcPr>
          <w:p>
            <w:pPr>
              <w:spacing w:after="40"/>
            </w:pPr>
            <w:r/>
            <w:r>
              <w:rPr>
                <w:b w:val="0"/>
                <w:color w:val="1D2733"/>
                <w:sz w:val="19"/>
              </w:rPr>
              <w:t>The data is already there. Nothing leaves it.</w:t>
            </w:r>
          </w:p>
        </w:tc>
      </w:tr>
      <w:tr>
        <w:tc>
          <w:tcPr>
            <w:tcW w:type="dxa" w:w="2088"/>
          </w:tcPr>
          <w:p>
            <w:pPr>
              <w:spacing w:after="40"/>
            </w:pPr>
            <w:r/>
            <w:r>
              <w:rPr>
                <w:b w:val="0"/>
                <w:color w:val="1D2733"/>
                <w:sz w:val="19"/>
              </w:rPr>
              <w:t>Transformation</w:t>
            </w:r>
          </w:p>
        </w:tc>
        <w:tc>
          <w:tcPr>
            <w:tcW w:type="dxa" w:w="2952"/>
          </w:tcPr>
          <w:p>
            <w:pPr>
              <w:spacing w:after="40"/>
            </w:pPr>
            <w:r/>
            <w:r>
              <w:rPr>
                <w:b w:val="0"/>
                <w:color w:val="1D2733"/>
                <w:sz w:val="19"/>
              </w:rPr>
              <w:t>dbt</w:t>
            </w:r>
          </w:p>
        </w:tc>
        <w:tc>
          <w:tcPr>
            <w:tcW w:type="dxa" w:w="4608"/>
          </w:tcPr>
          <w:p>
            <w:pPr>
              <w:spacing w:after="40"/>
            </w:pPr>
            <w:r/>
            <w:r>
              <w:rPr>
                <w:b w:val="0"/>
                <w:color w:val="1D2733"/>
                <w:sz w:val="19"/>
              </w:rPr>
              <w:t>Versioned, testable, scheduled. Same tooling as our existing pipelines.</w:t>
            </w:r>
          </w:p>
        </w:tc>
      </w:tr>
      <w:tr>
        <w:tc>
          <w:tcPr>
            <w:tcW w:type="dxa" w:w="2088"/>
          </w:tcPr>
          <w:p>
            <w:pPr>
              <w:spacing w:after="40"/>
            </w:pPr>
            <w:r/>
            <w:r>
              <w:rPr>
                <w:b w:val="0"/>
                <w:color w:val="1D2733"/>
                <w:sz w:val="19"/>
              </w:rPr>
              <w:t>Semantic matching</w:t>
            </w:r>
          </w:p>
        </w:tc>
        <w:tc>
          <w:tcPr>
            <w:tcW w:type="dxa" w:w="2952"/>
          </w:tcPr>
          <w:p>
            <w:pPr>
              <w:spacing w:after="40"/>
            </w:pPr>
            <w:r/>
            <w:r>
              <w:rPr>
                <w:b w:val="0"/>
                <w:color w:val="1D2733"/>
                <w:sz w:val="19"/>
              </w:rPr>
              <w:t>Vertex AI embedding model</w:t>
            </w:r>
          </w:p>
        </w:tc>
        <w:tc>
          <w:tcPr>
            <w:tcW w:type="dxa" w:w="4608"/>
          </w:tcPr>
          <w:p>
            <w:pPr>
              <w:spacing w:after="40"/>
            </w:pPr>
            <w:r/>
            <w:r>
              <w:rPr>
                <w:b w:val="0"/>
                <w:color w:val="1D2733"/>
                <w:sz w:val="19"/>
              </w:rPr>
              <w:t>Already provisioned by another team. Verified multilingual.</w:t>
            </w:r>
          </w:p>
        </w:tc>
      </w:tr>
      <w:tr>
        <w:tc>
          <w:tcPr>
            <w:tcW w:type="dxa" w:w="2088"/>
          </w:tcPr>
          <w:p>
            <w:pPr>
              <w:spacing w:after="40"/>
            </w:pPr>
            <w:r/>
            <w:r>
              <w:rPr>
                <w:b w:val="0"/>
                <w:color w:val="1D2733"/>
                <w:sz w:val="19"/>
              </w:rPr>
              <w:t>Search</w:t>
            </w:r>
          </w:p>
        </w:tc>
        <w:tc>
          <w:tcPr>
            <w:tcW w:type="dxa" w:w="2952"/>
          </w:tcPr>
          <w:p>
            <w:pPr>
              <w:spacing w:after="40"/>
            </w:pPr>
            <w:r/>
            <w:r>
              <w:rPr>
                <w:b w:val="0"/>
                <w:color w:val="1D2733"/>
                <w:sz w:val="19"/>
              </w:rPr>
              <w:t>BigQuery VECTOR_SEARCH</w:t>
            </w:r>
          </w:p>
        </w:tc>
        <w:tc>
          <w:tcPr>
            <w:tcW w:type="dxa" w:w="4608"/>
          </w:tcPr>
          <w:p>
            <w:pPr>
              <w:spacing w:after="40"/>
            </w:pPr>
            <w:r/>
            <w:r>
              <w:rPr>
                <w:b w:val="0"/>
                <w:color w:val="1D2733"/>
                <w:sz w:val="19"/>
              </w:rPr>
              <w:t>Native function. No separate vector database.</w:t>
            </w:r>
          </w:p>
        </w:tc>
      </w:tr>
      <w:tr>
        <w:tc>
          <w:tcPr>
            <w:tcW w:type="dxa" w:w="2088"/>
          </w:tcPr>
          <w:p>
            <w:pPr>
              <w:spacing w:after="40"/>
            </w:pPr>
            <w:r/>
            <w:r>
              <w:rPr>
                <w:b w:val="0"/>
                <w:color w:val="1D2733"/>
                <w:sz w:val="19"/>
              </w:rPr>
              <w:t>Organisation identity</w:t>
            </w:r>
          </w:p>
        </w:tc>
        <w:tc>
          <w:tcPr>
            <w:tcW w:type="dxa" w:w="2952"/>
          </w:tcPr>
          <w:p>
            <w:pPr>
              <w:spacing w:after="40"/>
            </w:pPr>
            <w:r/>
            <w:r>
              <w:rPr>
                <w:b w:val="0"/>
                <w:color w:val="1D2733"/>
                <w:sz w:val="19"/>
              </w:rPr>
              <w:t>ROR registry</w:t>
            </w:r>
          </w:p>
        </w:tc>
        <w:tc>
          <w:tcPr>
            <w:tcW w:type="dxa" w:w="4608"/>
          </w:tcPr>
          <w:p>
            <w:pPr>
              <w:spacing w:after="40"/>
            </w:pPr>
            <w:r/>
            <w:r>
              <w:rPr>
                <w:b w:val="0"/>
                <w:color w:val="1D2733"/>
                <w:sz w:val="19"/>
              </w:rPr>
              <w:t>Open, free, and ORCID already references it.</w:t>
            </w:r>
          </w:p>
        </w:tc>
      </w:tr>
      <w:tr>
        <w:tc>
          <w:tcPr>
            <w:tcW w:type="dxa" w:w="2088"/>
          </w:tcPr>
          <w:p>
            <w:pPr>
              <w:spacing w:after="40"/>
            </w:pPr>
            <w:r/>
            <w:r>
              <w:rPr>
                <w:b w:val="0"/>
                <w:color w:val="1D2733"/>
                <w:sz w:val="19"/>
              </w:rPr>
              <w:t>Adjudication</w:t>
            </w:r>
          </w:p>
        </w:tc>
        <w:tc>
          <w:tcPr>
            <w:tcW w:type="dxa" w:w="2952"/>
          </w:tcPr>
          <w:p>
            <w:pPr>
              <w:spacing w:after="40"/>
            </w:pPr>
            <w:r/>
            <w:r>
              <w:rPr>
                <w:b w:val="0"/>
                <w:color w:val="1D2733"/>
                <w:sz w:val="19"/>
              </w:rPr>
              <w:t>Gemini</w:t>
            </w:r>
          </w:p>
        </w:tc>
        <w:tc>
          <w:tcPr>
            <w:tcW w:type="dxa" w:w="4608"/>
          </w:tcPr>
          <w:p>
            <w:pPr>
              <w:spacing w:after="40"/>
            </w:pPr>
            <w:r/>
            <w:r>
              <w:rPr>
                <w:b w:val="0"/>
                <w:color w:val="1D2733"/>
                <w:sz w:val="19"/>
              </w:rPr>
              <w:t>For ambiguous titles. Not yet available — see Section 10.</w:t>
            </w:r>
          </w:p>
        </w:tc>
      </w:tr>
    </w:tbl>
    <w:p>
      <w:pPr>
        <w:spacing w:after="80"/>
      </w:pPr>
    </w:p>
    <w:p>
      <w:pPr>
        <w:spacing w:after="140"/>
      </w:pPr>
      <w:r>
        <w:rPr>
          <w:b w:val="0"/>
          <w:i w:val="0"/>
          <w:color w:val="1D2733"/>
          <w:sz w:val="21"/>
        </w:rPr>
        <w:t>The only component we do not have is the Gemini connection. The pipeline runs without it; Section 10 explains what that costs.</w:t>
      </w:r>
    </w:p>
    <w:p>
      <w:pPr>
        <w:pStyle w:val="Heading2"/>
      </w:pPr>
      <w:r>
        <w:t>Data sources</w:t>
      </w:r>
    </w:p>
    <w:tbl>
      <w:tblPr>
        <w:tblStyle w:val="TableGrid"/>
        <w:tblW w:type="auto" w:w="0"/>
        <w:jc w:val="left"/>
        <w:tblLook w:firstColumn="1" w:firstRow="1" w:lastColumn="0" w:lastRow="0" w:noHBand="0" w:noVBand="1" w:val="04A0"/>
      </w:tblPr>
      <w:tblGrid>
        <w:gridCol w:w="4752"/>
        <w:gridCol w:w="4752"/>
      </w:tblGrid>
      <w:tr>
        <w:tc>
          <w:tcPr>
            <w:tcW w:type="dxa" w:w="3456"/>
            <w:shd w:fill="EDF1F5"/>
          </w:tcPr>
          <w:p>
            <w:pPr>
              <w:spacing w:after="40"/>
            </w:pPr>
            <w:r/>
            <w:r>
              <w:rPr>
                <w:b/>
                <w:color w:val="454F5A"/>
                <w:sz w:val="18"/>
              </w:rPr>
              <w:t>Source</w:t>
            </w:r>
          </w:p>
        </w:tc>
        <w:tc>
          <w:tcPr>
            <w:tcW w:type="dxa" w:w="6192"/>
            <w:shd w:fill="EDF1F5"/>
          </w:tcPr>
          <w:p>
            <w:pPr>
              <w:spacing w:after="40"/>
            </w:pPr>
            <w:r/>
            <w:r>
              <w:rPr>
                <w:b/>
                <w:color w:val="454F5A"/>
                <w:sz w:val="18"/>
              </w:rPr>
              <w:t>What we take</w:t>
            </w:r>
          </w:p>
        </w:tc>
      </w:tr>
      <w:tr>
        <w:tc>
          <w:tcPr>
            <w:tcW w:type="dxa" w:w="3456"/>
          </w:tcPr>
          <w:p>
            <w:pPr>
              <w:spacing w:after="40"/>
            </w:pPr>
            <w:r/>
            <w:r>
              <w:rPr>
                <w:b w:val="0"/>
                <w:color w:val="1D2733"/>
                <w:sz w:val="19"/>
              </w:rPr>
              <w:t>ORCID — employment records</w:t>
            </w:r>
          </w:p>
        </w:tc>
        <w:tc>
          <w:tcPr>
            <w:tcW w:type="dxa" w:w="6192"/>
          </w:tcPr>
          <w:p>
            <w:pPr>
              <w:spacing w:after="40"/>
            </w:pPr>
            <w:r/>
            <w:r>
              <w:rPr>
                <w:b w:val="0"/>
                <w:color w:val="1D2733"/>
                <w:sz w:val="19"/>
              </w:rPr>
              <w:t>Job title, organisation, department, country, dates, organisation identifier</w:t>
            </w:r>
          </w:p>
        </w:tc>
      </w:tr>
      <w:tr>
        <w:tc>
          <w:tcPr>
            <w:tcW w:type="dxa" w:w="3456"/>
          </w:tcPr>
          <w:p>
            <w:pPr>
              <w:spacing w:after="40"/>
            </w:pPr>
            <w:r/>
            <w:r>
              <w:rPr>
                <w:b w:val="0"/>
                <w:color w:val="1D2733"/>
                <w:sz w:val="19"/>
              </w:rPr>
              <w:t>ORCID — education records</w:t>
            </w:r>
          </w:p>
        </w:tc>
        <w:tc>
          <w:tcPr>
            <w:tcW w:type="dxa" w:w="6192"/>
          </w:tcPr>
          <w:p>
            <w:pPr>
              <w:spacing w:after="40"/>
            </w:pPr>
            <w:r/>
            <w:r>
              <w:rPr>
                <w:b w:val="0"/>
                <w:color w:val="1D2733"/>
                <w:sz w:val="19"/>
              </w:rPr>
              <w:t>Degree and field of study (dropped — see Finding 5)</w:t>
            </w:r>
          </w:p>
        </w:tc>
      </w:tr>
      <w:tr>
        <w:tc>
          <w:tcPr>
            <w:tcW w:type="dxa" w:w="3456"/>
          </w:tcPr>
          <w:p>
            <w:pPr>
              <w:spacing w:after="40"/>
            </w:pPr>
            <w:r/>
            <w:r>
              <w:rPr>
                <w:b w:val="0"/>
                <w:color w:val="1D2733"/>
                <w:sz w:val="19"/>
              </w:rPr>
              <w:t>ROR registry</w:t>
            </w:r>
          </w:p>
        </w:tc>
        <w:tc>
          <w:tcPr>
            <w:tcW w:type="dxa" w:w="6192"/>
          </w:tcPr>
          <w:p>
            <w:pPr>
              <w:spacing w:after="40"/>
            </w:pPr>
            <w:r/>
            <w:r>
              <w:rPr>
                <w:b w:val="0"/>
                <w:color w:val="1D2733"/>
                <w:sz w:val="19"/>
              </w:rPr>
              <w:t>Organisation type: healthcare, education, company, government and so on</w:t>
            </w:r>
          </w:p>
        </w:tc>
      </w:tr>
      <w:tr>
        <w:tc>
          <w:tcPr>
            <w:tcW w:type="dxa" w:w="3456"/>
          </w:tcPr>
          <w:p>
            <w:pPr>
              <w:spacing w:after="40"/>
            </w:pPr>
            <w:r/>
            <w:r>
              <w:rPr>
                <w:b w:val="0"/>
                <w:color w:val="1D2733"/>
                <w:sz w:val="19"/>
              </w:rPr>
              <w:t>CDP — audience_builder_big</w:t>
            </w:r>
          </w:p>
        </w:tc>
        <w:tc>
          <w:tcPr>
            <w:tcW w:type="dxa" w:w="6192"/>
          </w:tcPr>
          <w:p>
            <w:pPr>
              <w:spacing w:after="40"/>
            </w:pPr>
            <w:r/>
            <w:r>
              <w:rPr>
                <w:b w:val="0"/>
                <w:color w:val="1D2733"/>
                <w:sz w:val="19"/>
              </w:rPr>
              <w:t>Identity, email address, marketing consent, advertising consent</w:t>
            </w:r>
          </w:p>
        </w:tc>
      </w:tr>
    </w:tbl>
    <w:p>
      <w:pPr>
        <w:spacing w:after="80"/>
      </w:pPr>
    </w:p>
    <w:p>
      <w:r>
        <w:br w:type="page"/>
      </w:r>
    </w:p>
    <w:p>
      <w:pPr>
        <w:pStyle w:val="Heading1"/>
      </w:pPr>
      <w:r>
        <w:t>3.  Which ORCID fields we read</w:t>
      </w:r>
    </w:p>
    <w:p>
      <w:pPr>
        <w:spacing w:after="140"/>
      </w:pPr>
      <w:r>
        <w:rPr>
          <w:b w:val="0"/>
          <w:i w:val="0"/>
          <w:color w:val="1D2733"/>
          <w:sz w:val="21"/>
        </w:rPr>
        <w:t>An ORCID profile is broad. We read a narrow slice of it.</w:t>
      </w:r>
    </w:p>
    <w:tbl>
      <w:tblPr>
        <w:tblStyle w:val="TableGrid"/>
        <w:tblW w:type="auto" w:w="0"/>
        <w:jc w:val="left"/>
        <w:tblLook w:firstColumn="1" w:firstRow="1" w:lastColumn="0" w:lastRow="0" w:noHBand="0" w:noVBand="1" w:val="04A0"/>
      </w:tblPr>
      <w:tblGrid>
        <w:gridCol w:w="3168"/>
        <w:gridCol w:w="3168"/>
        <w:gridCol w:w="3168"/>
      </w:tblGrid>
      <w:tr>
        <w:tc>
          <w:tcPr>
            <w:tcW w:type="dxa" w:w="3600"/>
            <w:shd w:fill="EDF1F5"/>
          </w:tcPr>
          <w:p>
            <w:pPr>
              <w:spacing w:after="40"/>
            </w:pPr>
            <w:r/>
            <w:r>
              <w:rPr>
                <w:b/>
                <w:color w:val="454F5A"/>
                <w:sz w:val="18"/>
              </w:rPr>
              <w:t>Field</w:t>
            </w:r>
          </w:p>
        </w:tc>
        <w:tc>
          <w:tcPr>
            <w:tcW w:type="dxa" w:w="4752"/>
            <w:shd w:fill="EDF1F5"/>
          </w:tcPr>
          <w:p>
            <w:pPr>
              <w:spacing w:after="40"/>
            </w:pPr>
            <w:r/>
            <w:r>
              <w:rPr>
                <w:b/>
                <w:color w:val="454F5A"/>
                <w:sz w:val="18"/>
              </w:rPr>
              <w:t>What it contributes</w:t>
            </w:r>
          </w:p>
        </w:tc>
        <w:tc>
          <w:tcPr>
            <w:tcW w:type="dxa" w:w="1296"/>
            <w:shd w:fill="EDF1F5"/>
          </w:tcPr>
          <w:p>
            <w:pPr>
              <w:spacing w:after="40"/>
              <w:jc w:val="right"/>
            </w:pPr>
            <w:r/>
            <w:r>
              <w:rPr>
                <w:b/>
                <w:color w:val="454F5A"/>
                <w:sz w:val="18"/>
              </w:rPr>
              <w:t>Populated</w:t>
            </w:r>
          </w:p>
        </w:tc>
      </w:tr>
      <w:tr>
        <w:tc>
          <w:tcPr>
            <w:tcW w:type="dxa" w:w="3600"/>
          </w:tcPr>
          <w:p>
            <w:pPr>
              <w:spacing w:after="40"/>
            </w:pPr>
            <w:r/>
            <w:r>
              <w:rPr>
                <w:b w:val="0"/>
                <w:color w:val="1D2733"/>
                <w:sz w:val="19"/>
              </w:rPr>
              <w:t>employment.role</w:t>
            </w:r>
          </w:p>
        </w:tc>
        <w:tc>
          <w:tcPr>
            <w:tcW w:type="dxa" w:w="4752"/>
          </w:tcPr>
          <w:p>
            <w:pPr>
              <w:spacing w:after="40"/>
            </w:pPr>
            <w:r/>
            <w:r>
              <w:rPr>
                <w:b w:val="0"/>
                <w:color w:val="1D2733"/>
                <w:sz w:val="19"/>
              </w:rPr>
              <w:t>The job title. The primary signal. Free text, every language.</w:t>
            </w:r>
          </w:p>
        </w:tc>
        <w:tc>
          <w:tcPr>
            <w:tcW w:type="dxa" w:w="1296"/>
          </w:tcPr>
          <w:p>
            <w:pPr>
              <w:spacing w:after="40"/>
              <w:jc w:val="right"/>
            </w:pPr>
            <w:r/>
            <w:r>
              <w:rPr>
                <w:rFonts w:ascii="Consolas" w:hAnsi="Consolas"/>
                <w:b w:val="0"/>
                <w:color w:val="1D2733"/>
                <w:sz w:val="19"/>
              </w:rPr>
              <w:t>81.9%</w:t>
            </w:r>
          </w:p>
        </w:tc>
      </w:tr>
      <w:tr>
        <w:tc>
          <w:tcPr>
            <w:tcW w:type="dxa" w:w="3600"/>
          </w:tcPr>
          <w:p>
            <w:pPr>
              <w:spacing w:after="40"/>
            </w:pPr>
            <w:r/>
            <w:r>
              <w:rPr>
                <w:b w:val="0"/>
                <w:color w:val="1D2733"/>
                <w:sz w:val="19"/>
              </w:rPr>
              <w:t>employment.organisation_name</w:t>
            </w:r>
          </w:p>
        </w:tc>
        <w:tc>
          <w:tcPr>
            <w:tcW w:type="dxa" w:w="4752"/>
          </w:tcPr>
          <w:p>
            <w:pPr>
              <w:spacing w:after="40"/>
            </w:pPr>
            <w:r/>
            <w:r>
              <w:rPr>
                <w:b w:val="0"/>
                <w:color w:val="1D2733"/>
                <w:sz w:val="19"/>
              </w:rPr>
              <w:t>The employer. A title means different things in a hospital and a bank.</w:t>
            </w:r>
          </w:p>
        </w:tc>
        <w:tc>
          <w:tcPr>
            <w:tcW w:type="dxa" w:w="1296"/>
          </w:tcPr>
          <w:p>
            <w:pPr>
              <w:spacing w:after="40"/>
              <w:jc w:val="right"/>
            </w:pPr>
            <w:r/>
            <w:r>
              <w:rPr>
                <w:rFonts w:ascii="Consolas" w:hAnsi="Consolas"/>
                <w:b w:val="0"/>
                <w:color w:val="1D2733"/>
                <w:sz w:val="19"/>
              </w:rPr>
              <w:t>100%</w:t>
            </w:r>
          </w:p>
        </w:tc>
      </w:tr>
      <w:tr>
        <w:tc>
          <w:tcPr>
            <w:tcW w:type="dxa" w:w="3600"/>
          </w:tcPr>
          <w:p>
            <w:pPr>
              <w:spacing w:after="40"/>
            </w:pPr>
            <w:r/>
            <w:r>
              <w:rPr>
                <w:b w:val="0"/>
                <w:color w:val="1D2733"/>
                <w:sz w:val="19"/>
              </w:rPr>
              <w:t>employment.department_name</w:t>
            </w:r>
          </w:p>
        </w:tc>
        <w:tc>
          <w:tcPr>
            <w:tcW w:type="dxa" w:w="4752"/>
          </w:tcPr>
          <w:p>
            <w:pPr>
              <w:spacing w:after="40"/>
            </w:pPr>
            <w:r/>
            <w:r>
              <w:rPr>
                <w:b w:val="0"/>
                <w:color w:val="1D2733"/>
                <w:sz w:val="19"/>
              </w:rPr>
              <w:t>The department. This turned out to be where the discipline lives.</w:t>
            </w:r>
          </w:p>
        </w:tc>
        <w:tc>
          <w:tcPr>
            <w:tcW w:type="dxa" w:w="1296"/>
          </w:tcPr>
          <w:p>
            <w:pPr>
              <w:spacing w:after="40"/>
              <w:jc w:val="right"/>
            </w:pPr>
            <w:r/>
            <w:r>
              <w:rPr>
                <w:rFonts w:ascii="Consolas" w:hAnsi="Consolas"/>
                <w:b w:val="0"/>
                <w:color w:val="1D2733"/>
                <w:sz w:val="19"/>
              </w:rPr>
              <w:t>78.5%</w:t>
            </w:r>
          </w:p>
        </w:tc>
      </w:tr>
      <w:tr>
        <w:tc>
          <w:tcPr>
            <w:tcW w:type="dxa" w:w="3600"/>
          </w:tcPr>
          <w:p>
            <w:pPr>
              <w:spacing w:after="40"/>
            </w:pPr>
            <w:r/>
            <w:r>
              <w:rPr>
                <w:b w:val="0"/>
                <w:color w:val="1D2733"/>
                <w:sz w:val="19"/>
              </w:rPr>
              <w:t>employment.disambiguated_organisation_id</w:t>
            </w:r>
          </w:p>
        </w:tc>
        <w:tc>
          <w:tcPr>
            <w:tcW w:type="dxa" w:w="4752"/>
          </w:tcPr>
          <w:p>
            <w:pPr>
              <w:spacing w:after="40"/>
            </w:pPr>
            <w:r/>
            <w:r>
              <w:rPr>
                <w:b w:val="0"/>
                <w:color w:val="1D2733"/>
                <w:sz w:val="19"/>
              </w:rPr>
              <w:t>ORCID's own organisation identifier. Gives the organisation type for free.</w:t>
            </w:r>
          </w:p>
        </w:tc>
        <w:tc>
          <w:tcPr>
            <w:tcW w:type="dxa" w:w="1296"/>
          </w:tcPr>
          <w:p>
            <w:pPr>
              <w:spacing w:after="40"/>
              <w:jc w:val="right"/>
            </w:pPr>
            <w:r/>
            <w:r>
              <w:rPr>
                <w:rFonts w:ascii="Consolas" w:hAnsi="Consolas"/>
                <w:b w:val="0"/>
                <w:color w:val="1D2733"/>
                <w:sz w:val="19"/>
              </w:rPr>
              <w:t>78.8%</w:t>
            </w:r>
          </w:p>
        </w:tc>
      </w:tr>
      <w:tr>
        <w:tc>
          <w:tcPr>
            <w:tcW w:type="dxa" w:w="3600"/>
          </w:tcPr>
          <w:p>
            <w:pPr>
              <w:spacing w:after="40"/>
            </w:pPr>
            <w:r/>
            <w:r>
              <w:rPr>
                <w:b w:val="0"/>
                <w:color w:val="1D2733"/>
                <w:sz w:val="19"/>
              </w:rPr>
              <w:t>employment.full_end_date</w:t>
            </w:r>
          </w:p>
        </w:tc>
        <w:tc>
          <w:tcPr>
            <w:tcW w:type="dxa" w:w="4752"/>
          </w:tcPr>
          <w:p>
            <w:pPr>
              <w:spacing w:after="40"/>
            </w:pPr>
            <w:r/>
            <w:r>
              <w:rPr>
                <w:b w:val="0"/>
                <w:color w:val="1D2733"/>
                <w:sz w:val="19"/>
              </w:rPr>
              <w:t>Empty means the post is current. Required for leadership roles.</w:t>
            </w:r>
          </w:p>
        </w:tc>
        <w:tc>
          <w:tcPr>
            <w:tcW w:type="dxa" w:w="1296"/>
          </w:tcPr>
          <w:p>
            <w:pPr>
              <w:spacing w:after="40"/>
              <w:jc w:val="right"/>
            </w:pPr>
            <w:r/>
            <w:r>
              <w:rPr>
                <w:rFonts w:ascii="Consolas" w:hAnsi="Consolas"/>
                <w:b w:val="0"/>
                <w:color w:val="1D2733"/>
                <w:sz w:val="19"/>
              </w:rPr>
              <w:t>—</w:t>
            </w:r>
          </w:p>
        </w:tc>
      </w:tr>
      <w:tr>
        <w:tc>
          <w:tcPr>
            <w:tcW w:type="dxa" w:w="3600"/>
          </w:tcPr>
          <w:p>
            <w:pPr>
              <w:spacing w:after="40"/>
            </w:pPr>
            <w:r/>
            <w:r>
              <w:rPr>
                <w:b w:val="0"/>
                <w:color w:val="1D2733"/>
                <w:sz w:val="19"/>
              </w:rPr>
              <w:t>employment.country_code</w:t>
            </w:r>
          </w:p>
        </w:tc>
        <w:tc>
          <w:tcPr>
            <w:tcW w:type="dxa" w:w="4752"/>
          </w:tcPr>
          <w:p>
            <w:pPr>
              <w:spacing w:after="40"/>
            </w:pPr>
            <w:r/>
            <w:r>
              <w:rPr>
                <w:b w:val="0"/>
                <w:color w:val="1D2733"/>
                <w:sz w:val="19"/>
              </w:rPr>
              <w:t>Country, recorded per post rather than per profile.</w:t>
            </w:r>
          </w:p>
        </w:tc>
        <w:tc>
          <w:tcPr>
            <w:tcW w:type="dxa" w:w="1296"/>
          </w:tcPr>
          <w:p>
            <w:pPr>
              <w:spacing w:after="40"/>
              <w:jc w:val="right"/>
            </w:pPr>
            <w:r/>
            <w:r>
              <w:rPr>
                <w:rFonts w:ascii="Consolas" w:hAnsi="Consolas"/>
                <w:b w:val="0"/>
                <w:color w:val="1D2733"/>
                <w:sz w:val="19"/>
              </w:rPr>
              <w:t>100%</w:t>
            </w:r>
          </w:p>
        </w:tc>
      </w:tr>
      <w:tr>
        <w:tc>
          <w:tcPr>
            <w:tcW w:type="dxa" w:w="3600"/>
          </w:tcPr>
          <w:p>
            <w:pPr>
              <w:spacing w:after="40"/>
            </w:pPr>
            <w:r/>
            <w:r>
              <w:rPr>
                <w:b w:val="0"/>
                <w:color w:val="1D2733"/>
                <w:sz w:val="19"/>
              </w:rPr>
              <w:t>employment.visibility</w:t>
            </w:r>
          </w:p>
        </w:tc>
        <w:tc>
          <w:tcPr>
            <w:tcW w:type="dxa" w:w="4752"/>
          </w:tcPr>
          <w:p>
            <w:pPr>
              <w:spacing w:after="40"/>
            </w:pPr>
            <w:r/>
            <w:r>
              <w:rPr>
                <w:b w:val="0"/>
                <w:color w:val="1D2733"/>
                <w:sz w:val="19"/>
              </w:rPr>
              <w:t>Public, limited or private. We use public only.</w:t>
            </w:r>
          </w:p>
        </w:tc>
        <w:tc>
          <w:tcPr>
            <w:tcW w:type="dxa" w:w="1296"/>
          </w:tcPr>
          <w:p>
            <w:pPr>
              <w:spacing w:after="40"/>
              <w:jc w:val="right"/>
            </w:pPr>
            <w:r/>
            <w:r>
              <w:rPr>
                <w:rFonts w:ascii="Consolas" w:hAnsi="Consolas"/>
                <w:b w:val="0"/>
                <w:color w:val="1D2733"/>
                <w:sz w:val="19"/>
              </w:rPr>
              <w:t>95.8% public</w:t>
            </w:r>
          </w:p>
        </w:tc>
      </w:tr>
    </w:tbl>
    <w:p>
      <w:pPr>
        <w:spacing w:after="80"/>
      </w:pPr>
    </w:p>
    <w:p>
      <w:pPr>
        <w:pStyle w:val="Heading2"/>
      </w:pPr>
      <w:r>
        <w:t>Fields we deliberately do not use</w:t>
      </w:r>
    </w:p>
    <w:tbl>
      <w:tblPr>
        <w:tblStyle w:val="TableGrid"/>
        <w:tblW w:type="auto" w:w="0"/>
        <w:jc w:val="left"/>
        <w:tblLook w:firstColumn="1" w:firstRow="1" w:lastColumn="0" w:lastRow="0" w:noHBand="0" w:noVBand="1" w:val="04A0"/>
      </w:tblPr>
      <w:tblGrid>
        <w:gridCol w:w="4752"/>
        <w:gridCol w:w="4752"/>
      </w:tblGrid>
      <w:tr>
        <w:tc>
          <w:tcPr>
            <w:tcW w:type="dxa" w:w="2736"/>
            <w:shd w:fill="EDF1F5"/>
          </w:tcPr>
          <w:p>
            <w:pPr>
              <w:spacing w:after="40"/>
            </w:pPr>
            <w:r/>
            <w:r>
              <w:rPr>
                <w:b/>
                <w:color w:val="454F5A"/>
                <w:sz w:val="18"/>
              </w:rPr>
              <w:t>Field</w:t>
            </w:r>
          </w:p>
        </w:tc>
        <w:tc>
          <w:tcPr>
            <w:tcW w:type="dxa" w:w="6912"/>
            <w:shd w:fill="EDF1F5"/>
          </w:tcPr>
          <w:p>
            <w:pPr>
              <w:spacing w:after="40"/>
            </w:pPr>
            <w:r/>
            <w:r>
              <w:rPr>
                <w:b/>
                <w:color w:val="454F5A"/>
                <w:sz w:val="18"/>
              </w:rPr>
              <w:t>Reason</w:t>
            </w:r>
          </w:p>
        </w:tc>
      </w:tr>
      <w:tr>
        <w:tc>
          <w:tcPr>
            <w:tcW w:type="dxa" w:w="2736"/>
          </w:tcPr>
          <w:p>
            <w:pPr>
              <w:spacing w:after="40"/>
            </w:pPr>
            <w:r/>
            <w:r>
              <w:rPr>
                <w:b w:val="0"/>
                <w:color w:val="1D2733"/>
                <w:sz w:val="19"/>
              </w:rPr>
              <w:t>publications</w:t>
            </w:r>
          </w:p>
        </w:tc>
        <w:tc>
          <w:tcPr>
            <w:tcW w:type="dxa" w:w="6912"/>
          </w:tcPr>
          <w:p>
            <w:pPr>
              <w:spacing w:after="40"/>
            </w:pPr>
            <w:r/>
            <w:r>
              <w:rPr>
                <w:b w:val="0"/>
                <w:color w:val="1D2733"/>
                <w:sz w:val="19"/>
              </w:rPr>
              <w:t>1.24 billion records across 783,044 journals. A strong future signal, but a separate phase.</w:t>
            </w:r>
          </w:p>
        </w:tc>
      </w:tr>
      <w:tr>
        <w:tc>
          <w:tcPr>
            <w:tcW w:type="dxa" w:w="2736"/>
          </w:tcPr>
          <w:p>
            <w:pPr>
              <w:spacing w:after="40"/>
            </w:pPr>
            <w:r/>
            <w:r>
              <w:rPr>
                <w:b w:val="0"/>
                <w:color w:val="1D2733"/>
                <w:sz w:val="19"/>
              </w:rPr>
              <w:t>keywords, peer_reviews</w:t>
            </w:r>
          </w:p>
        </w:tc>
        <w:tc>
          <w:tcPr>
            <w:tcW w:type="dxa" w:w="6912"/>
          </w:tcPr>
          <w:p>
            <w:pPr>
              <w:spacing w:after="40"/>
            </w:pPr>
            <w:r/>
            <w:r>
              <w:rPr>
                <w:b w:val="0"/>
                <w:color w:val="1D2733"/>
                <w:sz w:val="19"/>
              </w:rPr>
              <w:t>Useful supplementary signals. Not needed to deliver the current roles.</w:t>
            </w:r>
          </w:p>
        </w:tc>
      </w:tr>
      <w:tr>
        <w:tc>
          <w:tcPr>
            <w:tcW w:type="dxa" w:w="2736"/>
          </w:tcPr>
          <w:p>
            <w:pPr>
              <w:spacing w:after="40"/>
            </w:pPr>
            <w:r/>
            <w:r>
              <w:rPr>
                <w:b w:val="0"/>
                <w:color w:val="1D2733"/>
                <w:sz w:val="19"/>
              </w:rPr>
              <w:t>emails</w:t>
            </w:r>
          </w:p>
        </w:tc>
        <w:tc>
          <w:tcPr>
            <w:tcW w:type="dxa" w:w="6912"/>
          </w:tcPr>
          <w:p>
            <w:pPr>
              <w:spacing w:after="40"/>
            </w:pPr>
            <w:r/>
            <w:r>
              <w:rPr>
                <w:b w:val="0"/>
                <w:color w:val="1D2733"/>
                <w:sz w:val="19"/>
              </w:rPr>
              <w:t>ORCID email addresses are mostly private. Email comes from CDP instead.</w:t>
            </w:r>
          </w:p>
        </w:tc>
      </w:tr>
      <w:tr>
        <w:tc>
          <w:tcPr>
            <w:tcW w:type="dxa" w:w="2736"/>
          </w:tcPr>
          <w:p>
            <w:pPr>
              <w:spacing w:after="40"/>
            </w:pPr>
            <w:r/>
            <w:r>
              <w:rPr>
                <w:b w:val="0"/>
                <w:color w:val="1D2733"/>
                <w:sz w:val="19"/>
              </w:rPr>
              <w:t>country_codes (profile level)</w:t>
            </w:r>
          </w:p>
        </w:tc>
        <w:tc>
          <w:tcPr>
            <w:tcW w:type="dxa" w:w="6912"/>
          </w:tcPr>
          <w:p>
            <w:pPr>
              <w:spacing w:after="40"/>
            </w:pPr>
            <w:r/>
            <w:r>
              <w:rPr>
                <w:b w:val="0"/>
                <w:color w:val="1D2733"/>
                <w:sz w:val="19"/>
              </w:rPr>
              <w:t>The per-post country is more accurate. Someone can hold a German profile and a UK post.</w:t>
            </w:r>
          </w:p>
        </w:tc>
      </w:tr>
      <w:tr>
        <w:tc>
          <w:tcPr>
            <w:tcW w:type="dxa" w:w="2736"/>
          </w:tcPr>
          <w:p>
            <w:pPr>
              <w:spacing w:after="40"/>
            </w:pPr>
            <w:r/>
            <w:r>
              <w:rPr>
                <w:b w:val="0"/>
                <w:color w:val="1D2733"/>
                <w:sz w:val="19"/>
              </w:rPr>
              <w:t>education</w:t>
            </w:r>
          </w:p>
        </w:tc>
        <w:tc>
          <w:tcPr>
            <w:tcW w:type="dxa" w:w="6912"/>
          </w:tcPr>
          <w:p>
            <w:pPr>
              <w:spacing w:after="40"/>
            </w:pPr>
            <w:r/>
            <w:r>
              <w:rPr>
                <w:b w:val="0"/>
                <w:color w:val="1D2733"/>
                <w:sz w:val="19"/>
              </w:rPr>
              <w:t>Dropped after measurement. See Finding 5.</w:t>
            </w:r>
          </w:p>
        </w:tc>
      </w:tr>
    </w:tbl>
    <w:p>
      <w:pPr>
        <w:spacing w:after="80"/>
      </w:pPr>
    </w:p>
    <w:p>
      <w:pPr>
        <w:pStyle w:val="Heading1"/>
      </w:pPr>
      <w:r>
        <w:t>4.  The data, as measured</w:t>
      </w:r>
    </w:p>
    <w:p>
      <w:pPr>
        <w:spacing w:after="140"/>
      </w:pPr>
      <w:r>
        <w:rPr>
          <w:b w:val="0"/>
          <w:i w:val="0"/>
          <w:color w:val="1D2733"/>
          <w:sz w:val="21"/>
        </w:rPr>
        <w:t>Before designing anything we measured what is actually in the tables. Three results shaped every decision that followed.</w:t>
      </w:r>
    </w:p>
    <w:p>
      <w:pPr>
        <w:pStyle w:val="Heading2"/>
      </w:pPr>
      <w:r>
        <w:t>The working population is far smaller than the raw table</w:t>
      </w:r>
    </w:p>
    <w:p>
      <w:pPr>
        <w:jc w:val="center"/>
      </w:pPr>
      <w:r>
        <w:drawing>
          <wp:inline xmlns:a="http://schemas.openxmlformats.org/drawingml/2006/main" xmlns:pic="http://schemas.openxmlformats.org/drawingml/2006/picture">
            <wp:extent cx="5943600" cy="2143856"/>
            <wp:docPr id="1" name="Picture 1"/>
            <wp:cNvGraphicFramePr>
              <a:graphicFrameLocks noChangeAspect="1"/>
            </wp:cNvGraphicFramePr>
            <a:graphic>
              <a:graphicData uri="http://schemas.openxmlformats.org/drawingml/2006/picture">
                <pic:pic>
                  <pic:nvPicPr>
                    <pic:cNvPr id="0" name="01_funnel.png"/>
                    <pic:cNvPicPr/>
                  </pic:nvPicPr>
                  <pic:blipFill>
                    <a:blip r:embed="rId9"/>
                    <a:stretch>
                      <a:fillRect/>
                    </a:stretch>
                  </pic:blipFill>
                  <pic:spPr>
                    <a:xfrm>
                      <a:off x="0" y="0"/>
                      <a:ext cx="5943600" cy="2143856"/>
                    </a:xfrm>
                    <a:prstGeom prst="rect"/>
                  </pic:spPr>
                </pic:pic>
              </a:graphicData>
            </a:graphic>
          </wp:inline>
        </w:drawing>
      </w:r>
    </w:p>
    <w:p>
      <w:pPr>
        <w:spacing w:before="40" w:after="240"/>
        <w:jc w:val="center"/>
      </w:pPr>
      <w:r>
        <w:rPr>
          <w:i/>
          <w:color w:val="59636E"/>
          <w:sz w:val="17"/>
        </w:rPr>
        <w:t>Figure 1 — Only 7.1% of ORCID profiles carry a Springer Nature identity. Identity linkage is then near-perfect, but consent removes three quarters of what remains.</w:t>
      </w:r>
    </w:p>
    <w:p>
      <w:pPr>
        <w:spacing w:after="140"/>
      </w:pPr>
      <w:r>
        <w:rPr>
          <w:b w:val="0"/>
          <w:i w:val="0"/>
          <w:color w:val="1D2733"/>
          <w:sz w:val="21"/>
        </w:rPr>
        <w:t>Two conclusions. First, identification is not the bottleneck: 95.9% of identified people are already in CDP. Second, consent is. Every output of this pipeline therefore reports reachable counts, not matched counts — “we found 47,000 people” is a misleading number on its own.</w:t>
      </w:r>
    </w:p>
    <w:tbl>
      <w:tblPr>
        <w:tblStyle w:val="TableGrid"/>
        <w:tblW w:type="auto" w:w="0"/>
        <w:tblLook w:firstColumn="1" w:firstRow="1" w:lastColumn="0" w:lastRow="0" w:noHBand="0" w:noVBand="1" w:val="04A0"/>
      </w:tblPr>
      <w:tblGrid>
        <w:gridCol w:w="9504"/>
      </w:tblGrid>
      <w:tr>
        <w:tc>
          <w:tcPr>
            <w:tcW w:type="dxa" w:w="9504"/>
            <w:shd w:fill="FFF6EF"/>
          </w:tcPr>
          <w:p>
            <w:pPr>
              <w:spacing w:after="40"/>
            </w:pPr>
            <w:r/>
            <w:r>
              <w:rPr>
                <w:b/>
                <w:color w:val="C25525"/>
                <w:sz w:val="16"/>
              </w:rPr>
              <w:t>A CORRECTION WORTH RECORDING</w:t>
            </w:r>
          </w:p>
          <w:p>
            <w:pPr>
              <w:spacing w:after="0"/>
            </w:pPr>
            <w:r>
              <w:rPr>
                <w:color w:val="1D2733"/>
                <w:sz w:val="20"/>
              </w:rPr>
              <w:t>Of the 1,755,447 people carrying an identity, 823,427 have an employment record that is both public and has a job title filled in. That smaller figure is the true base for role assignment.</w:t>
            </w:r>
          </w:p>
        </w:tc>
      </w:tr>
    </w:tbl>
    <w:p>
      <w:pPr>
        <w:spacing w:after="120"/>
      </w:pPr>
    </w:p>
    <w:p>
      <w:pPr>
        <w:pStyle w:val="Heading2"/>
      </w:pPr>
      <w:r>
        <w:t>The fields we depend on are well populated</w:t>
      </w:r>
    </w:p>
    <w:p>
      <w:pPr>
        <w:jc w:val="center"/>
      </w:pPr>
      <w:r>
        <w:drawing>
          <wp:inline xmlns:a="http://schemas.openxmlformats.org/drawingml/2006/main" xmlns:pic="http://schemas.openxmlformats.org/drawingml/2006/picture">
            <wp:extent cx="5943600" cy="2040164"/>
            <wp:docPr id="2" name="Picture 2"/>
            <wp:cNvGraphicFramePr>
              <a:graphicFrameLocks noChangeAspect="1"/>
            </wp:cNvGraphicFramePr>
            <a:graphic>
              <a:graphicData uri="http://schemas.openxmlformats.org/drawingml/2006/picture">
                <pic:pic>
                  <pic:nvPicPr>
                    <pic:cNvPr id="0" name="02_coverage.png"/>
                    <pic:cNvPicPr/>
                  </pic:nvPicPr>
                  <pic:blipFill>
                    <a:blip r:embed="rId10"/>
                    <a:stretch>
                      <a:fillRect/>
                    </a:stretch>
                  </pic:blipFill>
                  <pic:spPr>
                    <a:xfrm>
                      <a:off x="0" y="0"/>
                      <a:ext cx="5943600" cy="2040164"/>
                    </a:xfrm>
                    <a:prstGeom prst="rect"/>
                  </pic:spPr>
                </pic:pic>
              </a:graphicData>
            </a:graphic>
          </wp:inline>
        </w:drawing>
      </w:r>
    </w:p>
    <w:p>
      <w:pPr>
        <w:spacing w:before="40" w:after="240"/>
        <w:jc w:val="center"/>
      </w:pPr>
      <w:r>
        <w:rPr>
          <w:i/>
          <w:color w:val="59636E"/>
          <w:sz w:val="17"/>
        </w:rPr>
        <w:t>Figure 2 — Department being 78.5% populated is what justifies the weight it carries in scoring. 72.3% of records carry all three core fields.</w:t>
      </w:r>
    </w:p>
    <w:p>
      <w:pPr>
        <w:pStyle w:val="Heading2"/>
      </w:pPr>
      <w:r>
        <w:t>Organisation identity needs more than one route</w:t>
      </w:r>
    </w:p>
    <w:p>
      <w:pPr>
        <w:jc w:val="center"/>
      </w:pPr>
      <w:r>
        <w:drawing>
          <wp:inline xmlns:a="http://schemas.openxmlformats.org/drawingml/2006/main" xmlns:pic="http://schemas.openxmlformats.org/drawingml/2006/picture">
            <wp:extent cx="5943600" cy="1526227"/>
            <wp:docPr id="3" name="Picture 3"/>
            <wp:cNvGraphicFramePr>
              <a:graphicFrameLocks noChangeAspect="1"/>
            </wp:cNvGraphicFramePr>
            <a:graphic>
              <a:graphicData uri="http://schemas.openxmlformats.org/drawingml/2006/picture">
                <pic:pic>
                  <pic:nvPicPr>
                    <pic:cNvPr id="0" name="03_orgid.png"/>
                    <pic:cNvPicPr/>
                  </pic:nvPicPr>
                  <pic:blipFill>
                    <a:blip r:embed="rId11"/>
                    <a:stretch>
                      <a:fillRect/>
                    </a:stretch>
                  </pic:blipFill>
                  <pic:spPr>
                    <a:xfrm>
                      <a:off x="0" y="0"/>
                      <a:ext cx="5943600" cy="1526227"/>
                    </a:xfrm>
                    <a:prstGeom prst="rect"/>
                  </pic:spPr>
                </pic:pic>
              </a:graphicData>
            </a:graphic>
          </wp:inline>
        </w:drawing>
      </w:r>
    </w:p>
    <w:p>
      <w:pPr>
        <w:spacing w:before="40" w:after="240"/>
        <w:jc w:val="center"/>
      </w:pPr>
      <w:r>
        <w:rPr>
          <w:i/>
          <w:color w:val="59636E"/>
          <w:sz w:val="17"/>
        </w:rPr>
        <w:t>Figure 3 — Relying on ROR identifiers alone would leave us blind to the organisation type on 65% of records. The other identifier systems are stored inside the ROR record, so we bridge through them.</w:t>
      </w:r>
    </w:p>
    <w:p>
      <w:r>
        <w:br w:type="page"/>
      </w:r>
    </w:p>
    <w:p>
      <w:pPr>
        <w:pStyle w:val="Heading1"/>
      </w:pPr>
      <w:r>
        <w:t>5.  Method</w:t>
      </w:r>
    </w:p>
    <w:p>
      <w:pPr>
        <w:pStyle w:val="Heading2"/>
      </w:pPr>
      <w:r>
        <w:t>Classify titles, not people</w:t>
      </w:r>
    </w:p>
    <w:p>
      <w:pPr>
        <w:spacing w:after="140"/>
      </w:pPr>
      <w:r>
        <w:rPr>
          <w:b w:val="0"/>
          <w:i w:val="0"/>
          <w:color w:val="1D2733"/>
          <w:sz w:val="21"/>
        </w:rPr>
        <w:t>Thousands of people share one job title. Deciding “Professor” once labels all of them. So the AI runs over the 355,803 distinct title strings, not over the millions of employment records, and the result is cached permanently.</w:t>
      </w:r>
    </w:p>
    <w:tbl>
      <w:tblPr>
        <w:tblStyle w:val="TableGrid"/>
        <w:tblW w:type="auto" w:w="0"/>
        <w:jc w:val="left"/>
        <w:tblLook w:firstColumn="1" w:firstRow="1" w:lastColumn="0" w:lastRow="0" w:noHBand="0" w:noVBand="1" w:val="04A0"/>
      </w:tblPr>
      <w:tblGrid>
        <w:gridCol w:w="3168"/>
        <w:gridCol w:w="3168"/>
        <w:gridCol w:w="3168"/>
      </w:tblGrid>
      <w:tr>
        <w:tc>
          <w:tcPr>
            <w:tcW w:type="dxa" w:w="4176"/>
            <w:shd w:fill="EDF1F5"/>
          </w:tcPr>
          <w:p>
            <w:pPr>
              <w:spacing w:after="40"/>
            </w:pPr>
            <w:r/>
            <w:r>
              <w:rPr>
                <w:b/>
                <w:color w:val="454F5A"/>
                <w:sz w:val="18"/>
              </w:rPr>
              <w:t>Approach</w:t>
            </w:r>
          </w:p>
        </w:tc>
        <w:tc>
          <w:tcPr>
            <w:tcW w:type="dxa" w:w="2880"/>
            <w:shd w:fill="EDF1F5"/>
          </w:tcPr>
          <w:p>
            <w:pPr>
              <w:spacing w:after="40"/>
            </w:pPr>
            <w:r/>
            <w:r>
              <w:rPr>
                <w:b/>
                <w:color w:val="454F5A"/>
                <w:sz w:val="18"/>
              </w:rPr>
              <w:t>Cost</w:t>
            </w:r>
          </w:p>
        </w:tc>
        <w:tc>
          <w:tcPr>
            <w:tcW w:type="dxa" w:w="2592"/>
            <w:shd w:fill="EDF1F5"/>
          </w:tcPr>
          <w:p>
            <w:pPr>
              <w:spacing w:after="40"/>
            </w:pPr>
            <w:r/>
            <w:r>
              <w:rPr>
                <w:b/>
                <w:color w:val="454F5A"/>
                <w:sz w:val="18"/>
              </w:rPr>
              <w:t>Repeatability</w:t>
            </w:r>
          </w:p>
        </w:tc>
      </w:tr>
      <w:tr>
        <w:tc>
          <w:tcPr>
            <w:tcW w:type="dxa" w:w="4176"/>
          </w:tcPr>
          <w:p>
            <w:pPr>
              <w:spacing w:after="40"/>
            </w:pPr>
            <w:r/>
            <w:r>
              <w:rPr>
                <w:b w:val="0"/>
                <w:color w:val="1D2733"/>
                <w:sz w:val="19"/>
              </w:rPr>
              <w:t>Send every record to a model</w:t>
            </w:r>
          </w:p>
        </w:tc>
        <w:tc>
          <w:tcPr>
            <w:tcW w:type="dxa" w:w="2880"/>
          </w:tcPr>
          <w:p>
            <w:pPr>
              <w:spacing w:after="40"/>
            </w:pPr>
            <w:r/>
            <w:r>
              <w:rPr>
                <w:b w:val="0"/>
                <w:color w:val="1D2733"/>
                <w:sz w:val="19"/>
              </w:rPr>
              <w:t>38,656,511 calls per run</w:t>
            </w:r>
          </w:p>
        </w:tc>
        <w:tc>
          <w:tcPr>
            <w:tcW w:type="dxa" w:w="2592"/>
          </w:tcPr>
          <w:p>
            <w:pPr>
              <w:spacing w:after="40"/>
            </w:pPr>
            <w:r/>
            <w:r>
              <w:rPr>
                <w:b w:val="0"/>
                <w:color w:val="1D2733"/>
                <w:sz w:val="19"/>
              </w:rPr>
              <w:t>Different answer each run</w:t>
            </w:r>
          </w:p>
        </w:tc>
      </w:tr>
      <w:tr>
        <w:tc>
          <w:tcPr>
            <w:tcW w:type="dxa" w:w="4176"/>
            <w:shd w:fill="F2F7FF"/>
          </w:tcPr>
          <w:p>
            <w:pPr>
              <w:spacing w:after="40"/>
            </w:pPr>
            <w:r/>
            <w:r>
              <w:rPr>
                <w:b/>
                <w:color w:val="148A5F"/>
                <w:sz w:val="19"/>
              </w:rPr>
              <w:t>Classify distinct titles once</w:t>
            </w:r>
          </w:p>
        </w:tc>
        <w:tc>
          <w:tcPr>
            <w:tcW w:type="dxa" w:w="2880"/>
            <w:shd w:fill="F2F7FF"/>
          </w:tcPr>
          <w:p>
            <w:pPr>
              <w:spacing w:after="40"/>
            </w:pPr>
            <w:r/>
            <w:r>
              <w:rPr>
                <w:b/>
                <w:color w:val="148A5F"/>
                <w:sz w:val="19"/>
              </w:rPr>
              <w:t>355,803 calls, once</w:t>
            </w:r>
          </w:p>
        </w:tc>
        <w:tc>
          <w:tcPr>
            <w:tcW w:type="dxa" w:w="2592"/>
            <w:shd w:fill="F2F7FF"/>
          </w:tcPr>
          <w:p>
            <w:pPr>
              <w:spacing w:after="40"/>
            </w:pPr>
            <w:r/>
            <w:r>
              <w:rPr>
                <w:b/>
                <w:color w:val="148A5F"/>
                <w:sz w:val="19"/>
              </w:rPr>
              <w:t>Identical every run</w:t>
            </w:r>
          </w:p>
        </w:tc>
      </w:tr>
    </w:tbl>
    <w:p>
      <w:pPr>
        <w:spacing w:after="80"/>
      </w:pPr>
    </w:p>
    <w:p>
      <w:pPr>
        <w:spacing w:after="140"/>
      </w:pPr>
      <w:r>
        <w:rPr>
          <w:b w:val="0"/>
          <w:i w:val="0"/>
          <w:color w:val="1D2733"/>
          <w:sz w:val="21"/>
        </w:rPr>
        <w:t>After the dictionary is built, labelling people is a database join: instant, free, and deterministic. That last property matters — an audience list that changes when you rerun it is not usable.</w:t>
      </w:r>
    </w:p>
    <w:p>
      <w:pPr>
        <w:pStyle w:val="Heading2"/>
      </w:pPr>
      <w:r>
        <w:t>The decision rule</w:t>
      </w:r>
    </w:p>
    <w:p>
      <w:pPr>
        <w:spacing w:after="140"/>
      </w:pPr>
      <w:r>
        <w:rPr>
          <w:b w:val="0"/>
          <w:i w:val="0"/>
          <w:color w:val="1D2733"/>
          <w:sz w:val="21"/>
        </w:rPr>
        <w:t>Our first attempt compared a title against each role and accepted the closest match above a threshold. Calibration against 37 hand-labelled examples showed this does not work.</w:t>
      </w:r>
    </w:p>
    <w:p>
      <w:pPr>
        <w:jc w:val="center"/>
      </w:pPr>
      <w:r>
        <w:drawing>
          <wp:inline xmlns:a="http://schemas.openxmlformats.org/drawingml/2006/main" xmlns:pic="http://schemas.openxmlformats.org/drawingml/2006/picture">
            <wp:extent cx="5943600" cy="2458103"/>
            <wp:docPr id="4" name="Picture 4"/>
            <wp:cNvGraphicFramePr>
              <a:graphicFrameLocks noChangeAspect="1"/>
            </wp:cNvGraphicFramePr>
            <a:graphic>
              <a:graphicData uri="http://schemas.openxmlformats.org/drawingml/2006/picture">
                <pic:pic>
                  <pic:nvPicPr>
                    <pic:cNvPr id="0" name="05_margin.png"/>
                    <pic:cNvPicPr/>
                  </pic:nvPicPr>
                  <pic:blipFill>
                    <a:blip r:embed="rId12"/>
                    <a:stretch>
                      <a:fillRect/>
                    </a:stretch>
                  </pic:blipFill>
                  <pic:spPr>
                    <a:xfrm>
                      <a:off x="0" y="0"/>
                      <a:ext cx="5943600" cy="2458103"/>
                    </a:xfrm>
                    <a:prstGeom prst="rect"/>
                  </pic:spPr>
                </pic:pic>
              </a:graphicData>
            </a:graphic>
          </wp:inline>
        </w:drawing>
      </w:r>
    </w:p>
    <w:p>
      <w:pPr>
        <w:spacing w:before="40" w:after="240"/>
        <w:jc w:val="center"/>
      </w:pPr>
      <w:r>
        <w:rPr>
          <w:i/>
          <w:color w:val="59636E"/>
          <w:sz w:val="17"/>
        </w:rPr>
        <w:t>Figure 4 — True and false matches overlap heavily on absolute similarity. “Pharmacologist” scores 0.953 against pharmacist anchors but is not a pharmacist. The margin against unrelated occupations separates them cleanly.</w:t>
      </w:r>
    </w:p>
    <w:p>
      <w:pPr>
        <w:spacing w:after="140"/>
      </w:pPr>
      <w:r>
        <w:rPr>
          <w:b w:val="0"/>
          <w:i w:val="0"/>
          <w:color w:val="1D2733"/>
          <w:sz w:val="21"/>
        </w:rPr>
        <w:t>The fix was to teach the system 72 common occupations that are none of our target roles — software engineer, lawyer, HR manager — and change the question from “how similar is this to the role?” to “how much more similar is it to the role than to unrelated work?” True matches clear +0.13; false matches are mostly negative.</w:t>
      </w:r>
    </w:p>
    <w:p>
      <w:pPr>
        <w:spacing w:after="140"/>
      </w:pPr>
      <w:r>
        <w:rPr>
          <w:b w:val="0"/>
          <w:i w:val="0"/>
          <w:color w:val="1D2733"/>
          <w:sz w:val="21"/>
        </w:rPr>
        <w:t>Two further mechanisms sit alongside it. Role-specific exclusion terms caught 9 of the 15 false matches on their own. And a tie band accepts every role within 0.12 of the best, so a title that genuinely belongs to two roles keeps both.</w:t>
      </w:r>
    </w:p>
    <w:p>
      <w:r>
        <w:br w:type="page"/>
      </w:r>
    </w:p>
    <w:p>
      <w:pPr>
        <w:pStyle w:val="Heading1"/>
      </w:pPr>
      <w:r>
        <w:t>6.  Findings</w:t>
      </w:r>
    </w:p>
    <w:p>
      <w:pPr>
        <w:spacing w:after="140"/>
      </w:pPr>
      <w:r>
        <w:rPr>
          <w:b w:val="0"/>
          <w:i w:val="0"/>
          <w:color w:val="1D2733"/>
          <w:sz w:val="21"/>
        </w:rPr>
        <w:t>Six results from the measurement rounds, in the order they changed the design.</w:t>
      </w:r>
    </w:p>
    <w:p>
      <w:pPr>
        <w:pStyle w:val="Heading2"/>
      </w:pPr>
      <w:r>
        <w:t>Finding 1 — The embedding model is multilingual</w:t>
      </w:r>
    </w:p>
    <w:p>
      <w:pPr>
        <w:jc w:val="center"/>
      </w:pPr>
      <w:r>
        <w:drawing>
          <wp:inline xmlns:a="http://schemas.openxmlformats.org/drawingml/2006/main" xmlns:pic="http://schemas.openxmlformats.org/drawingml/2006/picture">
            <wp:extent cx="5943600" cy="1701342"/>
            <wp:docPr id="5" name="Picture 5"/>
            <wp:cNvGraphicFramePr>
              <a:graphicFrameLocks noChangeAspect="1"/>
            </wp:cNvGraphicFramePr>
            <a:graphic>
              <a:graphicData uri="http://schemas.openxmlformats.org/drawingml/2006/picture">
                <pic:pic>
                  <pic:nvPicPr>
                    <pic:cNvPr id="0" name="04_multilingual.png"/>
                    <pic:cNvPicPr/>
                  </pic:nvPicPr>
                  <pic:blipFill>
                    <a:blip r:embed="rId13"/>
                    <a:stretch>
                      <a:fillRect/>
                    </a:stretch>
                  </pic:blipFill>
                  <pic:spPr>
                    <a:xfrm>
                      <a:off x="0" y="0"/>
                      <a:ext cx="5943600" cy="1701342"/>
                    </a:xfrm>
                    <a:prstGeom prst="rect"/>
                  </pic:spPr>
                </pic:pic>
              </a:graphicData>
            </a:graphic>
          </wp:inline>
        </w:drawing>
      </w:r>
    </w:p>
    <w:p>
      <w:pPr>
        <w:spacing w:before="40" w:after="240"/>
        <w:jc w:val="center"/>
      </w:pPr>
      <w:r>
        <w:rPr>
          <w:i/>
          <w:color w:val="59636E"/>
          <w:sz w:val="17"/>
        </w:rPr>
        <w:t>Figure 5 — French, German and Turkish equivalents all score high against the English term. No translation step is required.</w:t>
      </w:r>
    </w:p>
    <w:p>
      <w:pPr>
        <w:spacing w:after="140"/>
      </w:pPr>
      <w:r>
        <w:rPr>
          <w:b w:val="0"/>
          <w:i w:val="0"/>
          <w:color w:val="1D2733"/>
          <w:sz w:val="21"/>
        </w:rPr>
        <w:t>This was not guaranteed: the model was provisioned for matching institution names, which are mostly English. Had it been English-only, every non-English title would have been dropped silently. It also revealed that the model has a high baseline similarity, which is why the decision rule had to be rebuilt around margins.</w:t>
      </w:r>
    </w:p>
    <w:p>
      <w:pPr>
        <w:pStyle w:val="Heading2"/>
      </w:pPr>
      <w:r>
        <w:t>Finding 2 — The job title says POSITION, not DISCIPLINE</w:t>
      </w:r>
    </w:p>
    <w:p>
      <w:pPr>
        <w:spacing w:after="140"/>
      </w:pPr>
      <w:r>
        <w:rPr>
          <w:b w:val="0"/>
          <w:i w:val="0"/>
          <w:color w:val="1D2733"/>
          <w:sz w:val="21"/>
        </w:rPr>
        <w:t>This is the most important result in the project and it reversed a design decision.</w:t>
      </w:r>
    </w:p>
    <w:p>
      <w:pPr>
        <w:spacing w:after="140"/>
      </w:pPr>
      <w:r>
        <w:rPr>
          <w:b w:val="0"/>
          <w:i w:val="0"/>
          <w:color w:val="1D2733"/>
          <w:sz w:val="21"/>
        </w:rPr>
        <w:t>We tried to assign every title to a broad occupational field. It failed: 73.5% of records were unassignable or ambiguous, and the groups that did win, won on noise. “Lecturer” (903,050 records) was assigned to law. “Assistant professor” (2,513,601) to physical chemistry.</w:t>
      </w:r>
    </w:p>
    <w:p>
      <w:pPr>
        <w:spacing w:after="80"/>
      </w:pPr>
      <w:r>
        <w:rPr>
          <w:b w:val="0"/>
          <w:i w:val="0"/>
          <w:color w:val="1D2733"/>
          <w:sz w:val="21"/>
        </w:rPr>
        <w:t>The reason is visible in the data. The most common ORCID job titles are:</w:t>
      </w:r>
    </w:p>
    <w:tbl>
      <w:tblPr>
        <w:tblStyle w:val="TableGrid"/>
        <w:tblW w:type="auto" w:w="0"/>
        <w:jc w:val="left"/>
        <w:tblLook w:firstColumn="1" w:firstRow="1" w:lastColumn="0" w:lastRow="0" w:noHBand="0" w:noVBand="1" w:val="04A0"/>
      </w:tblPr>
      <w:tblGrid>
        <w:gridCol w:w="4752"/>
        <w:gridCol w:w="4752"/>
      </w:tblGrid>
      <w:tr>
        <w:tc>
          <w:tcPr>
            <w:tcW w:type="dxa" w:w="3744"/>
            <w:shd w:fill="EDF1F5"/>
          </w:tcPr>
          <w:p>
            <w:pPr>
              <w:spacing w:after="40"/>
            </w:pPr>
            <w:r/>
            <w:r>
              <w:rPr>
                <w:b/>
                <w:color w:val="454F5A"/>
                <w:sz w:val="18"/>
              </w:rPr>
              <w:t>Job title</w:t>
            </w:r>
          </w:p>
        </w:tc>
        <w:tc>
          <w:tcPr>
            <w:tcW w:type="dxa" w:w="1872"/>
            <w:shd w:fill="EDF1F5"/>
          </w:tcPr>
          <w:p>
            <w:pPr>
              <w:spacing w:after="40"/>
              <w:jc w:val="right"/>
            </w:pPr>
            <w:r/>
            <w:r>
              <w:rPr>
                <w:b/>
                <w:color w:val="454F5A"/>
                <w:sz w:val="18"/>
              </w:rPr>
              <w:t>Records</w:t>
            </w:r>
          </w:p>
        </w:tc>
      </w:tr>
      <w:tr>
        <w:tc>
          <w:tcPr>
            <w:tcW w:type="dxa" w:w="3744"/>
          </w:tcPr>
          <w:p>
            <w:pPr>
              <w:spacing w:after="40"/>
            </w:pPr>
            <w:r/>
            <w:r>
              <w:rPr>
                <w:b w:val="0"/>
                <w:color w:val="1D2733"/>
                <w:sz w:val="19"/>
              </w:rPr>
              <w:t>assistant professor</w:t>
            </w:r>
          </w:p>
        </w:tc>
        <w:tc>
          <w:tcPr>
            <w:tcW w:type="dxa" w:w="1872"/>
          </w:tcPr>
          <w:p>
            <w:pPr>
              <w:spacing w:after="40"/>
              <w:jc w:val="right"/>
            </w:pPr>
            <w:r/>
            <w:r>
              <w:rPr>
                <w:rFonts w:ascii="Consolas" w:hAnsi="Consolas"/>
                <w:b w:val="0"/>
                <w:color w:val="1D2733"/>
                <w:sz w:val="19"/>
              </w:rPr>
              <w:t>2,513,601</w:t>
            </w:r>
          </w:p>
        </w:tc>
      </w:tr>
      <w:tr>
        <w:tc>
          <w:tcPr>
            <w:tcW w:type="dxa" w:w="3744"/>
          </w:tcPr>
          <w:p>
            <w:pPr>
              <w:spacing w:after="40"/>
            </w:pPr>
            <w:r/>
            <w:r>
              <w:rPr>
                <w:b w:val="0"/>
                <w:color w:val="1D2733"/>
                <w:sz w:val="19"/>
              </w:rPr>
              <w:t>associate professor</w:t>
            </w:r>
          </w:p>
        </w:tc>
        <w:tc>
          <w:tcPr>
            <w:tcW w:type="dxa" w:w="1872"/>
          </w:tcPr>
          <w:p>
            <w:pPr>
              <w:spacing w:after="40"/>
              <w:jc w:val="right"/>
            </w:pPr>
            <w:r/>
            <w:r>
              <w:rPr>
                <w:rFonts w:ascii="Consolas" w:hAnsi="Consolas"/>
                <w:b w:val="0"/>
                <w:color w:val="1D2733"/>
                <w:sz w:val="19"/>
              </w:rPr>
              <w:t>1,715,550</w:t>
            </w:r>
          </w:p>
        </w:tc>
      </w:tr>
      <w:tr>
        <w:tc>
          <w:tcPr>
            <w:tcW w:type="dxa" w:w="3744"/>
          </w:tcPr>
          <w:p>
            <w:pPr>
              <w:spacing w:after="40"/>
            </w:pPr>
            <w:r/>
            <w:r>
              <w:rPr>
                <w:b w:val="0"/>
                <w:color w:val="1D2733"/>
                <w:sz w:val="19"/>
              </w:rPr>
              <w:t>professor</w:t>
            </w:r>
          </w:p>
        </w:tc>
        <w:tc>
          <w:tcPr>
            <w:tcW w:type="dxa" w:w="1872"/>
          </w:tcPr>
          <w:p>
            <w:pPr>
              <w:spacing w:after="40"/>
              <w:jc w:val="right"/>
            </w:pPr>
            <w:r/>
            <w:r>
              <w:rPr>
                <w:rFonts w:ascii="Consolas" w:hAnsi="Consolas"/>
                <w:b w:val="0"/>
                <w:color w:val="1D2733"/>
                <w:sz w:val="19"/>
              </w:rPr>
              <w:t>1,480,748</w:t>
            </w:r>
          </w:p>
        </w:tc>
      </w:tr>
      <w:tr>
        <w:tc>
          <w:tcPr>
            <w:tcW w:type="dxa" w:w="3744"/>
          </w:tcPr>
          <w:p>
            <w:pPr>
              <w:spacing w:after="40"/>
            </w:pPr>
            <w:r/>
            <w:r>
              <w:rPr>
                <w:b w:val="0"/>
                <w:color w:val="1D2733"/>
                <w:sz w:val="19"/>
              </w:rPr>
              <w:t>lecturer</w:t>
            </w:r>
          </w:p>
        </w:tc>
        <w:tc>
          <w:tcPr>
            <w:tcW w:type="dxa" w:w="1872"/>
          </w:tcPr>
          <w:p>
            <w:pPr>
              <w:spacing w:after="40"/>
              <w:jc w:val="right"/>
            </w:pPr>
            <w:r/>
            <w:r>
              <w:rPr>
                <w:rFonts w:ascii="Consolas" w:hAnsi="Consolas"/>
                <w:b w:val="0"/>
                <w:color w:val="1D2733"/>
                <w:sz w:val="19"/>
              </w:rPr>
              <w:t>903,050</w:t>
            </w:r>
          </w:p>
        </w:tc>
      </w:tr>
      <w:tr>
        <w:tc>
          <w:tcPr>
            <w:tcW w:type="dxa" w:w="3744"/>
          </w:tcPr>
          <w:p>
            <w:pPr>
              <w:spacing w:after="40"/>
            </w:pPr>
            <w:r/>
            <w:r>
              <w:rPr>
                <w:b w:val="0"/>
                <w:color w:val="1D2733"/>
                <w:sz w:val="19"/>
              </w:rPr>
              <w:t>researcher</w:t>
            </w:r>
          </w:p>
        </w:tc>
        <w:tc>
          <w:tcPr>
            <w:tcW w:type="dxa" w:w="1872"/>
          </w:tcPr>
          <w:p>
            <w:pPr>
              <w:spacing w:after="40"/>
              <w:jc w:val="right"/>
            </w:pPr>
            <w:r/>
            <w:r>
              <w:rPr>
                <w:rFonts w:ascii="Consolas" w:hAnsi="Consolas"/>
                <w:b w:val="0"/>
                <w:color w:val="1D2733"/>
                <w:sz w:val="19"/>
              </w:rPr>
              <w:t>743,113</w:t>
            </w:r>
          </w:p>
        </w:tc>
      </w:tr>
      <w:tr>
        <w:tc>
          <w:tcPr>
            <w:tcW w:type="dxa" w:w="3744"/>
          </w:tcPr>
          <w:p>
            <w:pPr>
              <w:spacing w:after="40"/>
            </w:pPr>
            <w:r/>
            <w:r>
              <w:rPr>
                <w:b w:val="0"/>
                <w:color w:val="1D2733"/>
                <w:sz w:val="19"/>
              </w:rPr>
              <w:t>postdoctoral researcher</w:t>
            </w:r>
          </w:p>
        </w:tc>
        <w:tc>
          <w:tcPr>
            <w:tcW w:type="dxa" w:w="1872"/>
          </w:tcPr>
          <w:p>
            <w:pPr>
              <w:spacing w:after="40"/>
              <w:jc w:val="right"/>
            </w:pPr>
            <w:r/>
            <w:r>
              <w:rPr>
                <w:rFonts w:ascii="Consolas" w:hAnsi="Consolas"/>
                <w:b w:val="0"/>
                <w:color w:val="1D2733"/>
                <w:sz w:val="19"/>
              </w:rPr>
              <w:t>604,970</w:t>
            </w:r>
          </w:p>
        </w:tc>
      </w:tr>
    </w:tbl>
    <w:p>
      <w:pPr>
        <w:spacing w:after="80"/>
      </w:pPr>
    </w:p>
    <w:p>
      <w:pPr>
        <w:spacing w:after="140"/>
      </w:pPr>
      <w:r>
        <w:rPr>
          <w:b w:val="0"/>
          <w:i w:val="0"/>
          <w:color w:val="1D2733"/>
          <w:sz w:val="21"/>
        </w:rPr>
        <w:t>None of them state a field. They state a rung on the academic ladder.</w:t>
      </w:r>
    </w:p>
    <w:p>
      <w:pPr>
        <w:jc w:val="center"/>
      </w:pPr>
      <w:r>
        <w:drawing>
          <wp:inline xmlns:a="http://schemas.openxmlformats.org/drawingml/2006/main" xmlns:pic="http://schemas.openxmlformats.org/drawingml/2006/picture">
            <wp:extent cx="5943600" cy="2971800"/>
            <wp:docPr id="6" name="Picture 6"/>
            <wp:cNvGraphicFramePr>
              <a:graphicFrameLocks noChangeAspect="1"/>
            </wp:cNvGraphicFramePr>
            <a:graphic>
              <a:graphicData uri="http://schemas.openxmlformats.org/drawingml/2006/picture">
                <pic:pic>
                  <pic:nvPicPr>
                    <pic:cNvPr id="0" name="06_title_vs_dept.png"/>
                    <pic:cNvPicPr/>
                  </pic:nvPicPr>
                  <pic:blipFill>
                    <a:blip r:embed="rId14"/>
                    <a:stretch>
                      <a:fillRect/>
                    </a:stretch>
                  </pic:blipFill>
                  <pic:spPr>
                    <a:xfrm>
                      <a:off x="0" y="0"/>
                      <a:ext cx="5943600" cy="2971800"/>
                    </a:xfrm>
                    <a:prstGeom prst="rect"/>
                  </pic:spPr>
                </pic:pic>
              </a:graphicData>
            </a:graphic>
          </wp:inline>
        </w:drawing>
      </w:r>
    </w:p>
    <w:p>
      <w:pPr>
        <w:spacing w:before="40" w:after="240"/>
        <w:jc w:val="center"/>
      </w:pPr>
      <w:r>
        <w:rPr>
          <w:i/>
          <w:color w:val="59636E"/>
          <w:sz w:val="17"/>
        </w:rPr>
        <w:t>Figure 6 — The same classification run against the department field instead. Every group decides with a clear margin.</w:t>
      </w:r>
    </w:p>
    <w:tbl>
      <w:tblPr>
        <w:tblStyle w:val="TableGrid"/>
        <w:tblW w:type="auto" w:w="0"/>
        <w:tblLook w:firstColumn="1" w:firstRow="1" w:lastColumn="0" w:lastRow="0" w:noHBand="0" w:noVBand="1" w:val="04A0"/>
      </w:tblPr>
      <w:tblGrid>
        <w:gridCol w:w="9504"/>
      </w:tblGrid>
      <w:tr>
        <w:tc>
          <w:tcPr>
            <w:tcW w:type="dxa" w:w="9504"/>
            <w:shd w:fill="EFF8F3"/>
          </w:tcPr>
          <w:p>
            <w:pPr>
              <w:spacing w:after="40"/>
            </w:pPr>
            <w:r/>
            <w:r>
              <w:rPr>
                <w:b/>
                <w:color w:val="148A5F"/>
                <w:sz w:val="16"/>
              </w:rPr>
              <w:t>WHAT CHANGED BECAUSE OF THIS</w:t>
            </w:r>
          </w:p>
          <w:p>
            <w:pPr>
              <w:spacing w:after="0"/>
            </w:pPr>
            <w:r>
              <w:rPr>
                <w:color w:val="1D2733"/>
                <w:sz w:val="20"/>
              </w:rPr>
              <w:t>The taxonomy was split into two independent axes. POSITION is read from the job title; DISCIPLINE is read from the department. Our roles are then combinations of the two — and “researcher in any field”, which never fitted a single flat list, becomes expressible.</w:t>
            </w:r>
          </w:p>
        </w:tc>
      </w:tr>
    </w:tbl>
    <w:p>
      <w:pPr>
        <w:spacing w:after="120"/>
      </w:pPr>
    </w:p>
    <w:p>
      <w:pPr>
        <w:pStyle w:val="Heading2"/>
      </w:pPr>
      <w:r>
        <w:t>Finding 3 — Both axes are usable together</w:t>
      </w:r>
    </w:p>
    <w:p>
      <w:pPr>
        <w:jc w:val="center"/>
      </w:pPr>
      <w:r>
        <w:drawing>
          <wp:inline xmlns:a="http://schemas.openxmlformats.org/drawingml/2006/main" xmlns:pic="http://schemas.openxmlformats.org/drawingml/2006/picture">
            <wp:extent cx="5943600" cy="2749170"/>
            <wp:docPr id="7" name="Picture 7"/>
            <wp:cNvGraphicFramePr>
              <a:graphicFrameLocks noChangeAspect="1"/>
            </wp:cNvGraphicFramePr>
            <a:graphic>
              <a:graphicData uri="http://schemas.openxmlformats.org/drawingml/2006/picture">
                <pic:pic>
                  <pic:nvPicPr>
                    <pic:cNvPr id="0" name="07_taxonomy.png"/>
                    <pic:cNvPicPr/>
                  </pic:nvPicPr>
                  <pic:blipFill>
                    <a:blip r:embed="rId15"/>
                    <a:stretch>
                      <a:fillRect/>
                    </a:stretch>
                  </pic:blipFill>
                  <pic:spPr>
                    <a:xfrm>
                      <a:off x="0" y="0"/>
                      <a:ext cx="5943600" cy="2749170"/>
                    </a:xfrm>
                    <a:prstGeom prst="rect"/>
                  </pic:spPr>
                </pic:pic>
              </a:graphicData>
            </a:graphic>
          </wp:inline>
        </w:drawing>
      </w:r>
    </w:p>
    <w:p>
      <w:pPr>
        <w:spacing w:before="40" w:after="240"/>
        <w:jc w:val="center"/>
      </w:pPr>
      <w:r>
        <w:rPr>
          <w:i/>
          <w:color w:val="59636E"/>
          <w:sz w:val="17"/>
        </w:rPr>
        <w:t>Figure 7 — The final taxonomy. Green marks the groups our current roles depend on.</w:t>
      </w:r>
    </w:p>
    <w:p>
      <w:pPr>
        <w:spacing w:after="140"/>
      </w:pPr>
      <w:r>
        <w:rPr>
          <w:b w:val="0"/>
          <w:i w:val="0"/>
          <w:color w:val="1D2733"/>
          <w:sz w:val="21"/>
        </w:rPr>
        <w:t>Between 82.7% and 93.8% of records in every position group also carry a department, so the two axes are available together for the great majority of people.</w:t>
      </w:r>
    </w:p>
    <w:p>
      <w:pPr>
        <w:pStyle w:val="Heading2"/>
      </w:pPr>
      <w:r>
        <w:t>Finding 4 — Errors cluster by word shape, and can be caught systematically</w:t>
      </w:r>
    </w:p>
    <w:p>
      <w:pPr>
        <w:spacing w:after="140"/>
      </w:pPr>
      <w:r>
        <w:rPr>
          <w:b w:val="0"/>
          <w:i w:val="0"/>
          <w:color w:val="1D2733"/>
          <w:sz w:val="21"/>
        </w:rPr>
        <w:t>“Radiology” was being assigned to earth sciences because it rhymes with “geology” — 71,300 records in the wrong group. We found it by reading a sample, which neither scales nor proves anything.</w:t>
      </w:r>
    </w:p>
    <w:p>
      <w:pPr>
        <w:spacing w:after="140"/>
      </w:pPr>
      <w:r>
        <w:rPr>
          <w:b w:val="0"/>
          <w:i w:val="0"/>
          <w:color w:val="1D2733"/>
          <w:sz w:val="21"/>
        </w:rPr>
        <w:t>So we built an audit that uses regular expressions as a checker rather than a classifier: any department containing “cardiolog” is clinical, and if the model disagrees, that is a defect. The audit found five more real errors covering roughly 58,000 records, including a systematic one — the pharmacy group was pulling in chemistry departments.</w:t>
      </w:r>
    </w:p>
    <w:p>
      <w:pPr>
        <w:pStyle w:val="Heading2"/>
      </w:pPr>
      <w:r>
        <w:t>Finding 5 — The degree field records level, not subject</w:t>
      </w:r>
    </w:p>
    <w:p>
      <w:pPr>
        <w:jc w:val="center"/>
      </w:pPr>
      <w:r>
        <w:drawing>
          <wp:inline xmlns:a="http://schemas.openxmlformats.org/drawingml/2006/main" xmlns:pic="http://schemas.openxmlformats.org/drawingml/2006/picture">
            <wp:extent cx="5943600" cy="1885720"/>
            <wp:docPr id="8" name="Picture 8"/>
            <wp:cNvGraphicFramePr>
              <a:graphicFrameLocks noChangeAspect="1"/>
            </wp:cNvGraphicFramePr>
            <a:graphic>
              <a:graphicData uri="http://schemas.openxmlformats.org/drawingml/2006/picture">
                <pic:pic>
                  <pic:nvPicPr>
                    <pic:cNvPr id="0" name="08_degree.png"/>
                    <pic:cNvPicPr/>
                  </pic:nvPicPr>
                  <pic:blipFill>
                    <a:blip r:embed="rId16"/>
                    <a:stretch>
                      <a:fillRect/>
                    </a:stretch>
                  </pic:blipFill>
                  <pic:spPr>
                    <a:xfrm>
                      <a:off x="0" y="0"/>
                      <a:ext cx="5943600" cy="1885720"/>
                    </a:xfrm>
                    <a:prstGeom prst="rect"/>
                  </pic:spPr>
                </pic:pic>
              </a:graphicData>
            </a:graphic>
          </wp:inline>
        </w:drawing>
      </w:r>
    </w:p>
    <w:p>
      <w:pPr>
        <w:spacing w:before="40" w:after="240"/>
        <w:jc w:val="center"/>
      </w:pPr>
      <w:r>
        <w:rPr>
          <w:i/>
          <w:color w:val="59636E"/>
          <w:sz w:val="17"/>
        </w:rPr>
        <w:t>Figure 8 — The six most common degree values. Only one of them is clinical.</w:t>
      </w:r>
    </w:p>
    <w:p>
      <w:pPr>
        <w:spacing w:after="140"/>
      </w:pPr>
      <w:r>
        <w:rPr>
          <w:b w:val="0"/>
          <w:i w:val="0"/>
          <w:color w:val="1D2733"/>
          <w:sz w:val="21"/>
        </w:rPr>
        <w:t>The education signal was meant to lift borderline cases. Measurement showed the degree field is dominated by academic level: 2,963,987 records say “phd”, which says nothing about whether someone practises medicine. Of 302,701 distinct degree strings, our rules matched 4.1%.</w:t>
      </w:r>
    </w:p>
    <w:p>
      <w:pPr>
        <w:spacing w:after="140"/>
      </w:pPr>
      <w:r>
        <w:rPr>
          <w:b w:val="0"/>
          <w:i w:val="0"/>
          <w:color w:val="1D2733"/>
          <w:sz w:val="21"/>
        </w:rPr>
        <w:t>Because the employment department now supplies the discipline signal directly, education was dropped. The HCP regression test will confirm whether that costs anything.</w:t>
      </w:r>
    </w:p>
    <w:p>
      <w:pPr>
        <w:pStyle w:val="Heading2"/>
      </w:pPr>
      <w:r>
        <w:t>Finding 6 — ORCID is the wrong source for librarians</w:t>
      </w:r>
    </w:p>
    <w:tbl>
      <w:tblPr>
        <w:tblStyle w:val="TableGrid"/>
        <w:tblW w:type="auto" w:w="0"/>
        <w:jc w:val="left"/>
        <w:tblLook w:firstColumn="1" w:firstRow="1" w:lastColumn="0" w:lastRow="0" w:noHBand="0" w:noVBand="1" w:val="04A0"/>
      </w:tblPr>
      <w:tblGrid>
        <w:gridCol w:w="4752"/>
        <w:gridCol w:w="4752"/>
      </w:tblGrid>
      <w:tr>
        <w:tc>
          <w:tcPr>
            <w:tcW w:type="dxa" w:w="3744"/>
            <w:shd w:fill="EDF1F5"/>
          </w:tcPr>
          <w:p>
            <w:pPr>
              <w:spacing w:after="40"/>
            </w:pPr>
            <w:r/>
            <w:r>
              <w:rPr>
                <w:b/>
                <w:color w:val="454F5A"/>
                <w:sz w:val="18"/>
              </w:rPr>
              <w:t>Measure</w:t>
            </w:r>
          </w:p>
        </w:tc>
        <w:tc>
          <w:tcPr>
            <w:tcW w:type="dxa" w:w="1728"/>
            <w:shd w:fill="EDF1F5"/>
          </w:tcPr>
          <w:p>
            <w:pPr>
              <w:spacing w:after="40"/>
              <w:jc w:val="right"/>
            </w:pPr>
            <w:r/>
            <w:r>
              <w:rPr>
                <w:b/>
                <w:color w:val="454F5A"/>
                <w:sz w:val="18"/>
              </w:rPr>
              <w:t>Figure</w:t>
            </w:r>
          </w:p>
        </w:tc>
      </w:tr>
      <w:tr>
        <w:tc>
          <w:tcPr>
            <w:tcW w:type="dxa" w:w="3744"/>
          </w:tcPr>
          <w:p>
            <w:pPr>
              <w:spacing w:after="40"/>
            </w:pPr>
            <w:r/>
            <w:r>
              <w:rPr>
                <w:b w:val="0"/>
                <w:color w:val="1D2733"/>
                <w:sz w:val="19"/>
              </w:rPr>
              <w:t>Distinct librarian job titles</w:t>
            </w:r>
          </w:p>
        </w:tc>
        <w:tc>
          <w:tcPr>
            <w:tcW w:type="dxa" w:w="1728"/>
          </w:tcPr>
          <w:p>
            <w:pPr>
              <w:spacing w:after="40"/>
              <w:jc w:val="right"/>
            </w:pPr>
            <w:r/>
            <w:r>
              <w:rPr>
                <w:rFonts w:ascii="Consolas" w:hAnsi="Consolas"/>
                <w:b w:val="0"/>
                <w:color w:val="1D2733"/>
                <w:sz w:val="19"/>
              </w:rPr>
              <w:t>969</w:t>
            </w:r>
          </w:p>
        </w:tc>
      </w:tr>
      <w:tr>
        <w:tc>
          <w:tcPr>
            <w:tcW w:type="dxa" w:w="3744"/>
          </w:tcPr>
          <w:p>
            <w:pPr>
              <w:spacing w:after="40"/>
            </w:pPr>
            <w:r/>
            <w:r>
              <w:rPr>
                <w:b w:val="0"/>
                <w:color w:val="1D2733"/>
                <w:sz w:val="19"/>
              </w:rPr>
              <w:t>Employment records</w:t>
            </w:r>
          </w:p>
        </w:tc>
        <w:tc>
          <w:tcPr>
            <w:tcW w:type="dxa" w:w="1728"/>
          </w:tcPr>
          <w:p>
            <w:pPr>
              <w:spacing w:after="40"/>
              <w:jc w:val="right"/>
            </w:pPr>
            <w:r/>
            <w:r>
              <w:rPr>
                <w:rFonts w:ascii="Consolas" w:hAnsi="Consolas"/>
                <w:b w:val="0"/>
                <w:color w:val="1D2733"/>
                <w:sz w:val="19"/>
              </w:rPr>
              <w:t>26,047</w:t>
            </w:r>
          </w:p>
        </w:tc>
      </w:tr>
      <w:tr>
        <w:tc>
          <w:tcPr>
            <w:tcW w:type="dxa" w:w="3744"/>
          </w:tcPr>
          <w:p>
            <w:pPr>
              <w:spacing w:after="40"/>
            </w:pPr>
            <w:r/>
            <w:r>
              <w:rPr>
                <w:b w:val="0"/>
                <w:color w:val="1D2733"/>
                <w:sz w:val="19"/>
              </w:rPr>
              <w:t>People</w:t>
            </w:r>
          </w:p>
        </w:tc>
        <w:tc>
          <w:tcPr>
            <w:tcW w:type="dxa" w:w="1728"/>
          </w:tcPr>
          <w:p>
            <w:pPr>
              <w:spacing w:after="40"/>
              <w:jc w:val="right"/>
            </w:pPr>
            <w:r/>
            <w:r>
              <w:rPr>
                <w:rFonts w:ascii="Consolas" w:hAnsi="Consolas"/>
                <w:b w:val="0"/>
                <w:color w:val="1D2733"/>
                <w:sz w:val="19"/>
              </w:rPr>
              <w:t>1,154</w:t>
            </w:r>
          </w:p>
        </w:tc>
      </w:tr>
      <w:tr>
        <w:tc>
          <w:tcPr>
            <w:tcW w:type="dxa" w:w="3744"/>
          </w:tcPr>
          <w:p>
            <w:pPr>
              <w:spacing w:after="40"/>
            </w:pPr>
            <w:r/>
            <w:r>
              <w:rPr>
                <w:b w:val="0"/>
                <w:color w:val="1D2733"/>
                <w:sz w:val="19"/>
              </w:rPr>
              <w:t>Present in CDP</w:t>
            </w:r>
          </w:p>
        </w:tc>
        <w:tc>
          <w:tcPr>
            <w:tcW w:type="dxa" w:w="1728"/>
          </w:tcPr>
          <w:p>
            <w:pPr>
              <w:spacing w:after="40"/>
              <w:jc w:val="right"/>
            </w:pPr>
            <w:r/>
            <w:r>
              <w:rPr>
                <w:rFonts w:ascii="Consolas" w:hAnsi="Consolas"/>
                <w:b w:val="0"/>
                <w:color w:val="1D2733"/>
                <w:sz w:val="19"/>
              </w:rPr>
              <w:t>1,066</w:t>
            </w:r>
          </w:p>
        </w:tc>
      </w:tr>
      <w:tr>
        <w:tc>
          <w:tcPr>
            <w:tcW w:type="dxa" w:w="3744"/>
            <w:shd w:fill="F2F7FF"/>
          </w:tcPr>
          <w:p>
            <w:pPr>
              <w:spacing w:after="40"/>
            </w:pPr>
            <w:r/>
            <w:r>
              <w:rPr>
                <w:b/>
                <w:color w:val="C13A39"/>
                <w:sz w:val="19"/>
              </w:rPr>
              <w:t>Marketable</w:t>
            </w:r>
          </w:p>
        </w:tc>
        <w:tc>
          <w:tcPr>
            <w:tcW w:type="dxa" w:w="1728"/>
            <w:shd w:fill="F2F7FF"/>
          </w:tcPr>
          <w:p>
            <w:pPr>
              <w:spacing w:after="40"/>
              <w:jc w:val="right"/>
            </w:pPr>
            <w:r/>
            <w:r>
              <w:rPr>
                <w:rFonts w:ascii="Consolas" w:hAnsi="Consolas"/>
                <w:b/>
                <w:color w:val="C13A39"/>
                <w:sz w:val="19"/>
              </w:rPr>
              <w:t>258</w:t>
            </w:r>
          </w:p>
        </w:tc>
      </w:tr>
    </w:tbl>
    <w:p>
      <w:pPr>
        <w:spacing w:after="80"/>
      </w:pPr>
    </w:p>
    <w:p>
      <w:pPr>
        <w:spacing w:after="140"/>
      </w:pPr>
      <w:r>
        <w:rPr>
          <w:b w:val="0"/>
          <w:i w:val="0"/>
          <w:color w:val="1D2733"/>
          <w:sz w:val="21"/>
        </w:rPr>
        <w:t>969 distinct titles for 1,154 people is almost one title per person — there is no frequency head to review and nothing for an embedding to amortise against. More fundamentally, ORCID is a researcher identifier and librarians are not researchers, so most never create one. 258 marketable contacts is not a pipeline failure; it is the true size of the overlap.</w:t>
      </w:r>
    </w:p>
    <w:tbl>
      <w:tblPr>
        <w:tblStyle w:val="TableGrid"/>
        <w:tblW w:type="auto" w:w="0"/>
        <w:tblLook w:firstColumn="1" w:firstRow="1" w:lastColumn="0" w:lastRow="0" w:noHBand="0" w:noVBand="1" w:val="04A0"/>
      </w:tblPr>
      <w:tblGrid>
        <w:gridCol w:w="9504"/>
      </w:tblGrid>
      <w:tr>
        <w:tc>
          <w:tcPr>
            <w:tcW w:type="dxa" w:w="9504"/>
            <w:shd w:fill="FDF2F2"/>
          </w:tcPr>
          <w:p>
            <w:pPr>
              <w:spacing w:after="40"/>
            </w:pPr>
            <w:r/>
            <w:r>
              <w:rPr>
                <w:b/>
                <w:color w:val="C13A39"/>
                <w:sz w:val="16"/>
              </w:rPr>
              <w:t>DECISION</w:t>
            </w:r>
          </w:p>
          <w:p>
            <w:pPr>
              <w:spacing w:after="0"/>
            </w:pPr>
            <w:r>
              <w:rPr>
                <w:color w:val="1D2733"/>
                <w:sz w:val="20"/>
              </w:rPr>
              <w:t>The librarian role is dropped from this pipeline. If a librarian audience is needed commercially it requires a different source — CDP self-reported role, institutional contacts or conference registrations.</w:t>
            </w:r>
          </w:p>
        </w:tc>
      </w:tr>
    </w:tbl>
    <w:p>
      <w:pPr>
        <w:spacing w:after="120"/>
      </w:pPr>
    </w:p>
    <w:p>
      <w:r>
        <w:br w:type="page"/>
      </w:r>
    </w:p>
    <w:p>
      <w:pPr>
        <w:pStyle w:val="Heading1"/>
      </w:pPr>
      <w:r>
        <w:t>7.  Model performance</w:t>
      </w:r>
    </w:p>
    <w:tbl>
      <w:tblPr>
        <w:tblStyle w:val="TableGrid"/>
        <w:tblW w:type="auto" w:w="0"/>
        <w:jc w:val="left"/>
        <w:tblLook w:firstColumn="1" w:firstRow="1" w:lastColumn="0" w:lastRow="0" w:noHBand="0" w:noVBand="1" w:val="04A0"/>
      </w:tblPr>
      <w:tblGrid>
        <w:gridCol w:w="3168"/>
        <w:gridCol w:w="3168"/>
        <w:gridCol w:w="3168"/>
      </w:tblGrid>
      <w:tr>
        <w:tc>
          <w:tcPr>
            <w:tcW w:type="dxa" w:w="2736"/>
            <w:shd w:fill="EDF1F5"/>
          </w:tcPr>
          <w:p>
            <w:pPr>
              <w:spacing w:after="40"/>
            </w:pPr>
            <w:r/>
            <w:r>
              <w:rPr>
                <w:b/>
                <w:color w:val="454F5A"/>
                <w:sz w:val="18"/>
              </w:rPr>
              <w:t>Test</w:t>
            </w:r>
          </w:p>
        </w:tc>
        <w:tc>
          <w:tcPr>
            <w:tcW w:type="dxa" w:w="5040"/>
            <w:shd w:fill="EDF1F5"/>
          </w:tcPr>
          <w:p>
            <w:pPr>
              <w:spacing w:after="40"/>
            </w:pPr>
            <w:r/>
            <w:r>
              <w:rPr>
                <w:b/>
                <w:color w:val="454F5A"/>
                <w:sz w:val="18"/>
              </w:rPr>
              <w:t>What it measures</w:t>
            </w:r>
          </w:p>
        </w:tc>
        <w:tc>
          <w:tcPr>
            <w:tcW w:type="dxa" w:w="1872"/>
            <w:shd w:fill="EDF1F5"/>
          </w:tcPr>
          <w:p>
            <w:pPr>
              <w:spacing w:after="40"/>
            </w:pPr>
            <w:r/>
            <w:r>
              <w:rPr>
                <w:b/>
                <w:color w:val="454F5A"/>
                <w:sz w:val="18"/>
              </w:rPr>
              <w:t>Result</w:t>
            </w:r>
          </w:p>
        </w:tc>
      </w:tr>
      <w:tr>
        <w:tc>
          <w:tcPr>
            <w:tcW w:type="dxa" w:w="2736"/>
            <w:shd w:fill="F2F7FF"/>
          </w:tcPr>
          <w:p>
            <w:pPr>
              <w:spacing w:after="40"/>
            </w:pPr>
            <w:r/>
            <w:r>
              <w:rPr>
                <w:b w:val="0"/>
                <w:color w:val="1D2733"/>
                <w:sz w:val="19"/>
              </w:rPr>
              <w:t>Labelled test set</w:t>
            </w:r>
          </w:p>
        </w:tc>
        <w:tc>
          <w:tcPr>
            <w:tcW w:type="dxa" w:w="5040"/>
            <w:shd w:fill="F2F7FF"/>
          </w:tcPr>
          <w:p>
            <w:pPr>
              <w:spacing w:after="40"/>
            </w:pPr>
            <w:r/>
            <w:r>
              <w:rPr>
                <w:b w:val="0"/>
                <w:color w:val="1D2733"/>
                <w:sz w:val="19"/>
              </w:rPr>
              <w:t>62 departments with hand-assigned correct answers, including every known trap</w:t>
            </w:r>
          </w:p>
        </w:tc>
        <w:tc>
          <w:tcPr>
            <w:tcW w:type="dxa" w:w="1872"/>
            <w:shd w:fill="F2F7FF"/>
          </w:tcPr>
          <w:p>
            <w:pPr>
              <w:spacing w:after="40"/>
            </w:pPr>
            <w:r/>
            <w:r>
              <w:rPr>
                <w:b/>
                <w:color w:val="148A5F"/>
                <w:sz w:val="19"/>
              </w:rPr>
              <w:t>100%  (64/64)</w:t>
            </w:r>
          </w:p>
        </w:tc>
      </w:tr>
      <w:tr>
        <w:tc>
          <w:tcPr>
            <w:tcW w:type="dxa" w:w="2736"/>
          </w:tcPr>
          <w:p>
            <w:pPr>
              <w:spacing w:after="40"/>
            </w:pPr>
            <w:r/>
            <w:r>
              <w:rPr>
                <w:b w:val="0"/>
                <w:color w:val="1D2733"/>
                <w:sz w:val="19"/>
              </w:rPr>
              <w:t>Trap departments</w:t>
            </w:r>
          </w:p>
        </w:tc>
        <w:tc>
          <w:tcPr>
            <w:tcW w:type="dxa" w:w="5040"/>
          </w:tcPr>
          <w:p>
            <w:pPr>
              <w:spacing w:after="40"/>
            </w:pPr>
            <w:r/>
            <w:r>
              <w:rPr>
                <w:b w:val="0"/>
                <w:color w:val="1D2733"/>
                <w:sz w:val="19"/>
              </w:rPr>
              <w:t>18 specifically confusable departments checked individually</w:t>
            </w:r>
          </w:p>
        </w:tc>
        <w:tc>
          <w:tcPr>
            <w:tcW w:type="dxa" w:w="1872"/>
          </w:tcPr>
          <w:p>
            <w:pPr>
              <w:spacing w:after="40"/>
            </w:pPr>
            <w:r/>
            <w:r>
              <w:rPr>
                <w:b/>
                <w:color w:val="148A5F"/>
                <w:sz w:val="19"/>
              </w:rPr>
              <w:t>18/18 correct</w:t>
            </w:r>
          </w:p>
        </w:tc>
      </w:tr>
      <w:tr>
        <w:tc>
          <w:tcPr>
            <w:tcW w:type="dxa" w:w="2736"/>
          </w:tcPr>
          <w:p>
            <w:pPr>
              <w:spacing w:after="40"/>
            </w:pPr>
            <w:r/>
            <w:r>
              <w:rPr>
                <w:b w:val="0"/>
                <w:color w:val="1D2733"/>
                <w:sz w:val="19"/>
              </w:rPr>
              <w:t>Multilingual verification</w:t>
            </w:r>
          </w:p>
        </w:tc>
        <w:tc>
          <w:tcPr>
            <w:tcW w:type="dxa" w:w="5040"/>
          </w:tcPr>
          <w:p>
            <w:pPr>
              <w:spacing w:after="40"/>
            </w:pPr>
            <w:r/>
            <w:r>
              <w:rPr>
                <w:b w:val="0"/>
                <w:color w:val="1D2733"/>
                <w:sz w:val="19"/>
              </w:rPr>
              <w:t>Whether non-English titles reach their English equivalents</w:t>
            </w:r>
          </w:p>
        </w:tc>
        <w:tc>
          <w:tcPr>
            <w:tcW w:type="dxa" w:w="1872"/>
          </w:tcPr>
          <w:p>
            <w:pPr>
              <w:spacing w:after="40"/>
            </w:pPr>
            <w:r/>
            <w:r>
              <w:rPr>
                <w:b/>
                <w:color w:val="148A5F"/>
                <w:sz w:val="19"/>
              </w:rPr>
              <w:t>Passed</w:t>
            </w:r>
          </w:p>
        </w:tc>
      </w:tr>
      <w:tr>
        <w:tc>
          <w:tcPr>
            <w:tcW w:type="dxa" w:w="2736"/>
          </w:tcPr>
          <w:p>
            <w:pPr>
              <w:spacing w:after="40"/>
            </w:pPr>
            <w:r/>
            <w:r>
              <w:rPr>
                <w:b w:val="0"/>
                <w:color w:val="1D2733"/>
                <w:sz w:val="19"/>
              </w:rPr>
              <w:t>Decision margins — discipline</w:t>
            </w:r>
          </w:p>
        </w:tc>
        <w:tc>
          <w:tcPr>
            <w:tcW w:type="dxa" w:w="5040"/>
          </w:tcPr>
          <w:p>
            <w:pPr>
              <w:spacing w:after="40"/>
            </w:pPr>
            <w:r/>
            <w:r>
              <w:rPr>
                <w:b w:val="0"/>
                <w:color w:val="1D2733"/>
                <w:sz w:val="19"/>
              </w:rPr>
              <w:t>Average separation between first and second choice, 12 groups</w:t>
            </w:r>
          </w:p>
        </w:tc>
        <w:tc>
          <w:tcPr>
            <w:tcW w:type="dxa" w:w="1872"/>
          </w:tcPr>
          <w:p>
            <w:pPr>
              <w:spacing w:after="40"/>
            </w:pPr>
            <w:r/>
            <w:r>
              <w:rPr>
                <w:b w:val="0"/>
                <w:color w:val="1D2733"/>
                <w:sz w:val="19"/>
              </w:rPr>
              <w:t>0.079 – 0.186</w:t>
            </w:r>
          </w:p>
        </w:tc>
      </w:tr>
      <w:tr>
        <w:tc>
          <w:tcPr>
            <w:tcW w:type="dxa" w:w="2736"/>
          </w:tcPr>
          <w:p>
            <w:pPr>
              <w:spacing w:after="40"/>
            </w:pPr>
            <w:r/>
            <w:r>
              <w:rPr>
                <w:b w:val="0"/>
                <w:color w:val="1D2733"/>
                <w:sz w:val="19"/>
              </w:rPr>
              <w:t>Decision margins — position</w:t>
            </w:r>
          </w:p>
        </w:tc>
        <w:tc>
          <w:tcPr>
            <w:tcW w:type="dxa" w:w="5040"/>
          </w:tcPr>
          <w:p>
            <w:pPr>
              <w:spacing w:after="40"/>
            </w:pPr>
            <w:r/>
            <w:r>
              <w:rPr>
                <w:b w:val="0"/>
                <w:color w:val="1D2733"/>
                <w:sz w:val="19"/>
              </w:rPr>
              <w:t>Same, 8 groups</w:t>
            </w:r>
          </w:p>
        </w:tc>
        <w:tc>
          <w:tcPr>
            <w:tcW w:type="dxa" w:w="1872"/>
          </w:tcPr>
          <w:p>
            <w:pPr>
              <w:spacing w:after="40"/>
            </w:pPr>
            <w:r/>
            <w:r>
              <w:rPr>
                <w:b w:val="0"/>
                <w:color w:val="1D2733"/>
                <w:sz w:val="19"/>
              </w:rPr>
              <w:t>0.085 – 0.157</w:t>
            </w:r>
          </w:p>
        </w:tc>
      </w:tr>
      <w:tr>
        <w:tc>
          <w:tcPr>
            <w:tcW w:type="dxa" w:w="2736"/>
          </w:tcPr>
          <w:p>
            <w:pPr>
              <w:spacing w:after="40"/>
            </w:pPr>
            <w:r/>
            <w:r>
              <w:rPr>
                <w:b w:val="0"/>
                <w:color w:val="1D2733"/>
                <w:sz w:val="19"/>
              </w:rPr>
              <w:t>Exclusion terms</w:t>
            </w:r>
          </w:p>
        </w:tc>
        <w:tc>
          <w:tcPr>
            <w:tcW w:type="dxa" w:w="5040"/>
          </w:tcPr>
          <w:p>
            <w:pPr>
              <w:spacing w:after="40"/>
            </w:pPr>
            <w:r/>
            <w:r>
              <w:rPr>
                <w:b w:val="0"/>
                <w:color w:val="1D2733"/>
                <w:sz w:val="19"/>
              </w:rPr>
              <w:t>False matches caught by role-specific exclusions alone</w:t>
            </w:r>
          </w:p>
        </w:tc>
        <w:tc>
          <w:tcPr>
            <w:tcW w:type="dxa" w:w="1872"/>
          </w:tcPr>
          <w:p>
            <w:pPr>
              <w:spacing w:after="40"/>
            </w:pPr>
            <w:r/>
            <w:r>
              <w:rPr>
                <w:b w:val="0"/>
                <w:color w:val="1D2733"/>
                <w:sz w:val="19"/>
              </w:rPr>
              <w:t>9 of 15</w:t>
            </w:r>
          </w:p>
        </w:tc>
      </w:tr>
      <w:tr>
        <w:tc>
          <w:tcPr>
            <w:tcW w:type="dxa" w:w="2736"/>
          </w:tcPr>
          <w:p>
            <w:pPr>
              <w:spacing w:after="40"/>
            </w:pPr>
            <w:r/>
            <w:r>
              <w:rPr>
                <w:b w:val="0"/>
                <w:color w:val="1D2733"/>
                <w:sz w:val="19"/>
              </w:rPr>
              <w:t>Unassignable records</w:t>
            </w:r>
          </w:p>
        </w:tc>
        <w:tc>
          <w:tcPr>
            <w:tcW w:type="dxa" w:w="5040"/>
          </w:tcPr>
          <w:p>
            <w:pPr>
              <w:spacing w:after="40"/>
            </w:pPr>
            <w:r/>
            <w:r>
              <w:rPr>
                <w:b w:val="0"/>
                <w:color w:val="1D2733"/>
                <w:sz w:val="19"/>
              </w:rPr>
              <w:t>Share of records the discipline axis cannot place</w:t>
            </w:r>
          </w:p>
        </w:tc>
        <w:tc>
          <w:tcPr>
            <w:tcW w:type="dxa" w:w="1872"/>
          </w:tcPr>
          <w:p>
            <w:pPr>
              <w:spacing w:after="40"/>
            </w:pPr>
            <w:r/>
            <w:r>
              <w:rPr>
                <w:b/>
                <w:color w:val="148A5F"/>
                <w:sz w:val="19"/>
              </w:rPr>
              <w:t>1.6%</w:t>
            </w:r>
          </w:p>
        </w:tc>
      </w:tr>
    </w:tbl>
    <w:p>
      <w:pPr>
        <w:spacing w:after="80"/>
      </w:pPr>
    </w:p>
    <w:p>
      <w:pPr>
        <w:spacing w:after="140"/>
      </w:pPr>
      <w:r>
        <w:rPr>
          <w:b w:val="0"/>
          <w:i w:val="0"/>
          <w:color w:val="1D2733"/>
          <w:sz w:val="21"/>
        </w:rPr>
        <w:t>For context, the earlier design — assigning discipline from the job title — left 73.5% of records unassignable or ambiguous. Moving the discipline signal to the department reduced that to 1.6%.</w:t>
      </w:r>
    </w:p>
    <w:p>
      <w:pPr>
        <w:pStyle w:val="Heading2"/>
      </w:pPr>
      <w:r>
        <w:t>How the roles are defined</w:t>
      </w:r>
    </w:p>
    <w:p>
      <w:pPr>
        <w:spacing w:after="140"/>
      </w:pPr>
      <w:r>
        <w:rPr>
          <w:b w:val="0"/>
          <w:i w:val="0"/>
          <w:color w:val="1D2733"/>
          <w:sz w:val="21"/>
        </w:rPr>
        <w:t>Each role is a query over the two axes rather than a separately engineered classifier.</w:t>
      </w:r>
    </w:p>
    <w:tbl>
      <w:tblPr>
        <w:tblStyle w:val="TableGrid"/>
        <w:tblW w:type="auto" w:w="0"/>
        <w:jc w:val="left"/>
        <w:tblLook w:firstColumn="1" w:firstRow="1" w:lastColumn="0" w:lastRow="0" w:noHBand="0" w:noVBand="1" w:val="04A0"/>
      </w:tblPr>
      <w:tblGrid>
        <w:gridCol w:w="3168"/>
        <w:gridCol w:w="3168"/>
        <w:gridCol w:w="3168"/>
      </w:tblGrid>
      <w:tr>
        <w:tc>
          <w:tcPr>
            <w:tcW w:type="dxa" w:w="2160"/>
            <w:shd w:fill="EDF1F5"/>
          </w:tcPr>
          <w:p>
            <w:pPr>
              <w:spacing w:after="40"/>
            </w:pPr>
            <w:r/>
            <w:r>
              <w:rPr>
                <w:b/>
                <w:color w:val="454F5A"/>
                <w:sz w:val="18"/>
              </w:rPr>
              <w:t>Role</w:t>
            </w:r>
          </w:p>
        </w:tc>
        <w:tc>
          <w:tcPr>
            <w:tcW w:type="dxa" w:w="3744"/>
            <w:shd w:fill="EDF1F5"/>
          </w:tcPr>
          <w:p>
            <w:pPr>
              <w:spacing w:after="40"/>
            </w:pPr>
            <w:r/>
            <w:r>
              <w:rPr>
                <w:b/>
                <w:color w:val="454F5A"/>
                <w:sz w:val="18"/>
              </w:rPr>
              <w:t>Position (from title)</w:t>
            </w:r>
          </w:p>
        </w:tc>
        <w:tc>
          <w:tcPr>
            <w:tcW w:type="dxa" w:w="3744"/>
            <w:shd w:fill="EDF1F5"/>
          </w:tcPr>
          <w:p>
            <w:pPr>
              <w:spacing w:after="40"/>
            </w:pPr>
            <w:r/>
            <w:r>
              <w:rPr>
                <w:b/>
                <w:color w:val="454F5A"/>
                <w:sz w:val="18"/>
              </w:rPr>
              <w:t>Discipline (from department)</w:t>
            </w:r>
          </w:p>
        </w:tc>
      </w:tr>
      <w:tr>
        <w:tc>
          <w:tcPr>
            <w:tcW w:type="dxa" w:w="2160"/>
          </w:tcPr>
          <w:p>
            <w:pPr>
              <w:spacing w:after="40"/>
            </w:pPr>
            <w:r/>
            <w:r>
              <w:rPr>
                <w:b w:val="0"/>
                <w:color w:val="1D2733"/>
                <w:sz w:val="19"/>
              </w:rPr>
              <w:t>researcher</w:t>
            </w:r>
          </w:p>
        </w:tc>
        <w:tc>
          <w:tcPr>
            <w:tcW w:type="dxa" w:w="3744"/>
          </w:tcPr>
          <w:p>
            <w:pPr>
              <w:spacing w:after="40"/>
            </w:pPr>
            <w:r/>
            <w:r>
              <w:rPr>
                <w:b w:val="0"/>
                <w:color w:val="1D2733"/>
                <w:sz w:val="19"/>
              </w:rPr>
              <w:t>researcher_early or researcher_established</w:t>
            </w:r>
          </w:p>
        </w:tc>
        <w:tc>
          <w:tcPr>
            <w:tcW w:type="dxa" w:w="3744"/>
          </w:tcPr>
          <w:p>
            <w:pPr>
              <w:spacing w:after="40"/>
            </w:pPr>
            <w:r/>
            <w:r>
              <w:rPr>
                <w:b w:val="0"/>
                <w:color w:val="1D2733"/>
                <w:sz w:val="19"/>
              </w:rPr>
              <w:t>any field</w:t>
            </w:r>
          </w:p>
        </w:tc>
      </w:tr>
      <w:tr>
        <w:tc>
          <w:tcPr>
            <w:tcW w:type="dxa" w:w="2160"/>
          </w:tcPr>
          <w:p>
            <w:pPr>
              <w:spacing w:after="40"/>
            </w:pPr>
            <w:r/>
            <w:r>
              <w:rPr>
                <w:b w:val="0"/>
                <w:color w:val="1D2733"/>
                <w:sz w:val="19"/>
              </w:rPr>
              <w:t>lecturer</w:t>
            </w:r>
          </w:p>
        </w:tc>
        <w:tc>
          <w:tcPr>
            <w:tcW w:type="dxa" w:w="3744"/>
          </w:tcPr>
          <w:p>
            <w:pPr>
              <w:spacing w:after="40"/>
            </w:pPr>
            <w:r/>
            <w:r>
              <w:rPr>
                <w:b w:val="0"/>
                <w:color w:val="1D2733"/>
                <w:sz w:val="19"/>
              </w:rPr>
              <w:t>teaching_academic</w:t>
            </w:r>
          </w:p>
        </w:tc>
        <w:tc>
          <w:tcPr>
            <w:tcW w:type="dxa" w:w="3744"/>
          </w:tcPr>
          <w:p>
            <w:pPr>
              <w:spacing w:after="40"/>
            </w:pPr>
            <w:r/>
            <w:r>
              <w:rPr>
                <w:b w:val="0"/>
                <w:color w:val="1D2733"/>
                <w:sz w:val="19"/>
              </w:rPr>
              <w:t>any field</w:t>
            </w:r>
          </w:p>
        </w:tc>
      </w:tr>
      <w:tr>
        <w:tc>
          <w:tcPr>
            <w:tcW w:type="dxa" w:w="2160"/>
          </w:tcPr>
          <w:p>
            <w:pPr>
              <w:spacing w:after="40"/>
            </w:pPr>
            <w:r/>
            <w:r>
              <w:rPr>
                <w:b w:val="0"/>
                <w:color w:val="1D2733"/>
                <w:sz w:val="19"/>
              </w:rPr>
              <w:t>faculty_head</w:t>
            </w:r>
          </w:p>
        </w:tc>
        <w:tc>
          <w:tcPr>
            <w:tcW w:type="dxa" w:w="3744"/>
          </w:tcPr>
          <w:p>
            <w:pPr>
              <w:spacing w:after="40"/>
            </w:pPr>
            <w:r/>
            <w:r>
              <w:rPr>
                <w:b w:val="0"/>
                <w:color w:val="1D2733"/>
                <w:sz w:val="19"/>
              </w:rPr>
              <w:t>leadership</w:t>
            </w:r>
          </w:p>
        </w:tc>
        <w:tc>
          <w:tcPr>
            <w:tcW w:type="dxa" w:w="3744"/>
          </w:tcPr>
          <w:p>
            <w:pPr>
              <w:spacing w:after="40"/>
            </w:pPr>
            <w:r/>
            <w:r>
              <w:rPr>
                <w:b w:val="0"/>
                <w:color w:val="1D2733"/>
                <w:sz w:val="19"/>
              </w:rPr>
              <w:t>academic organisation</w:t>
            </w:r>
          </w:p>
        </w:tc>
      </w:tr>
      <w:tr>
        <w:tc>
          <w:tcPr>
            <w:tcW w:type="dxa" w:w="2160"/>
          </w:tcPr>
          <w:p>
            <w:pPr>
              <w:spacing w:after="40"/>
            </w:pPr>
            <w:r/>
            <w:r>
              <w:rPr>
                <w:b w:val="0"/>
                <w:color w:val="1D2733"/>
                <w:sz w:val="19"/>
              </w:rPr>
              <w:t>hcp</w:t>
            </w:r>
          </w:p>
        </w:tc>
        <w:tc>
          <w:tcPr>
            <w:tcW w:type="dxa" w:w="3744"/>
          </w:tcPr>
          <w:p>
            <w:pPr>
              <w:spacing w:after="40"/>
            </w:pPr>
            <w:r/>
            <w:r>
              <w:rPr>
                <w:b w:val="0"/>
                <w:color w:val="1D2733"/>
                <w:sz w:val="19"/>
              </w:rPr>
              <w:t>any</w:t>
            </w:r>
          </w:p>
        </w:tc>
        <w:tc>
          <w:tcPr>
            <w:tcW w:type="dxa" w:w="3744"/>
          </w:tcPr>
          <w:p>
            <w:pPr>
              <w:spacing w:after="40"/>
            </w:pPr>
            <w:r/>
            <w:r>
              <w:rPr>
                <w:b w:val="0"/>
                <w:color w:val="1D2733"/>
                <w:sz w:val="19"/>
              </w:rPr>
              <w:t>health_clinical</w:t>
            </w:r>
          </w:p>
        </w:tc>
      </w:tr>
      <w:tr>
        <w:tc>
          <w:tcPr>
            <w:tcW w:type="dxa" w:w="2160"/>
          </w:tcPr>
          <w:p>
            <w:pPr>
              <w:spacing w:after="40"/>
            </w:pPr>
            <w:r/>
            <w:r>
              <w:rPr>
                <w:b w:val="0"/>
                <w:color w:val="1D2733"/>
                <w:sz w:val="19"/>
              </w:rPr>
              <w:t>pharmacist</w:t>
            </w:r>
          </w:p>
        </w:tc>
        <w:tc>
          <w:tcPr>
            <w:tcW w:type="dxa" w:w="3744"/>
          </w:tcPr>
          <w:p>
            <w:pPr>
              <w:spacing w:after="40"/>
            </w:pPr>
            <w:r/>
            <w:r>
              <w:rPr>
                <w:b w:val="0"/>
                <w:color w:val="1D2733"/>
                <w:sz w:val="19"/>
              </w:rPr>
              <w:t>any</w:t>
            </w:r>
          </w:p>
        </w:tc>
        <w:tc>
          <w:tcPr>
            <w:tcW w:type="dxa" w:w="3744"/>
          </w:tcPr>
          <w:p>
            <w:pPr>
              <w:spacing w:after="40"/>
            </w:pPr>
            <w:r/>
            <w:r>
              <w:rPr>
                <w:b w:val="0"/>
                <w:color w:val="1D2733"/>
                <w:sz w:val="19"/>
              </w:rPr>
              <w:t>pharmacy</w:t>
            </w:r>
          </w:p>
        </w:tc>
      </w:tr>
      <w:tr>
        <w:tc>
          <w:tcPr>
            <w:tcW w:type="dxa" w:w="2160"/>
          </w:tcPr>
          <w:p>
            <w:pPr>
              <w:spacing w:after="40"/>
            </w:pPr>
            <w:r/>
            <w:r>
              <w:rPr>
                <w:b/>
                <w:color w:val="C13A39"/>
                <w:sz w:val="19"/>
              </w:rPr>
              <w:t>librarian (dropped)</w:t>
            </w:r>
          </w:p>
        </w:tc>
        <w:tc>
          <w:tcPr>
            <w:tcW w:type="dxa" w:w="3744"/>
          </w:tcPr>
          <w:p>
            <w:pPr>
              <w:spacing w:after="40"/>
            </w:pPr>
            <w:r/>
            <w:r>
              <w:rPr>
                <w:b/>
                <w:color w:val="C13A39"/>
                <w:sz w:val="19"/>
              </w:rPr>
              <w:t>—</w:t>
            </w:r>
          </w:p>
        </w:tc>
        <w:tc>
          <w:tcPr>
            <w:tcW w:type="dxa" w:w="3744"/>
          </w:tcPr>
          <w:p>
            <w:pPr>
              <w:spacing w:after="40"/>
            </w:pPr>
            <w:r/>
            <w:r>
              <w:rPr>
                <w:b/>
                <w:color w:val="C13A39"/>
                <w:sz w:val="19"/>
              </w:rPr>
              <w:t>see Finding 6</w:t>
            </w:r>
          </w:p>
        </w:tc>
      </w:tr>
    </w:tbl>
    <w:p>
      <w:pPr>
        <w:spacing w:after="80"/>
      </w:pPr>
    </w:p>
    <w:p>
      <w:pPr>
        <w:spacing w:after="140"/>
      </w:pPr>
      <w:r>
        <w:rPr>
          <w:b w:val="0"/>
          <w:i w:val="0"/>
          <w:color w:val="1D2733"/>
          <w:sz w:val="21"/>
        </w:rPr>
        <w:t>A professor of cardiology receives both “lecturer” and “hcp”. That is correct, and the multi-label structure preserves it.</w:t>
      </w:r>
    </w:p>
    <w:tbl>
      <w:tblPr>
        <w:tblStyle w:val="TableGrid"/>
        <w:tblW w:type="auto" w:w="0"/>
        <w:tblLook w:firstColumn="1" w:firstRow="1" w:lastColumn="0" w:lastRow="0" w:noHBand="0" w:noVBand="1" w:val="04A0"/>
      </w:tblPr>
      <w:tblGrid>
        <w:gridCol w:w="9504"/>
      </w:tblGrid>
      <w:tr>
        <w:tc>
          <w:tcPr>
            <w:tcW w:type="dxa" w:w="9504"/>
            <w:shd w:fill="EFF8F3"/>
          </w:tcPr>
          <w:p>
            <w:pPr>
              <w:spacing w:after="40"/>
            </w:pPr>
            <w:r/>
            <w:r>
              <w:rPr>
                <w:b/>
                <w:color w:val="148A5F"/>
                <w:sz w:val="16"/>
              </w:rPr>
              <w:t>A SIDE EFFECT WORTH NOTING</w:t>
            </w:r>
          </w:p>
          <w:p>
            <w:pPr>
              <w:spacing w:after="0"/>
            </w:pPr>
            <w:r>
              <w:rPr>
                <w:color w:val="1D2733"/>
                <w:sz w:val="20"/>
              </w:rPr>
              <w:t>“Lecturer” had been deferred because a UK Lecturer is roughly a US Assistant Professor and we could not reconcile them. On the position axis both are simply teaching_academic. The problem disappeared.</w:t>
            </w:r>
          </w:p>
        </w:tc>
      </w:tr>
    </w:tbl>
    <w:p>
      <w:pPr>
        <w:spacing w:after="120"/>
      </w:pPr>
    </w:p>
    <w:p>
      <w:r>
        <w:br w:type="page"/>
      </w:r>
    </w:p>
    <w:p>
      <w:pPr>
        <w:pStyle w:val="Heading1"/>
      </w:pPr>
      <w:r>
        <w:t>8.  Strengths and limitations</w:t>
      </w:r>
    </w:p>
    <w:p>
      <w:pPr>
        <w:pStyle w:val="Heading2"/>
      </w:pPr>
      <w:r>
        <w:t>What this approach does well</w:t>
      </w:r>
    </w:p>
    <w:p>
      <w:pPr>
        <w:pStyle w:val="ListBullet"/>
        <w:spacing w:after="60"/>
      </w:pPr>
      <w:r>
        <w:rPr>
          <w:b/>
          <w:color w:val="1D2733"/>
          <w:sz w:val="21"/>
        </w:rPr>
        <w:t xml:space="preserve">Works across languages without translating. </w:t>
      </w:r>
      <w:r>
        <w:rPr>
          <w:color w:val="1D2733"/>
          <w:sz w:val="21"/>
        </w:rPr>
        <w:t>Verified on French, German and Turkish. The existing HCP pipeline cannot do this.</w:t>
      </w:r>
    </w:p>
    <w:p>
      <w:pPr>
        <w:pStyle w:val="ListBullet"/>
        <w:spacing w:after="60"/>
      </w:pPr>
      <w:r>
        <w:rPr>
          <w:b/>
          <w:color w:val="1D2733"/>
          <w:sz w:val="21"/>
        </w:rPr>
        <w:t xml:space="preserve">Deterministic. </w:t>
      </w:r>
      <w:r>
        <w:rPr>
          <w:color w:val="1D2733"/>
          <w:sz w:val="21"/>
        </w:rPr>
        <w:t>AI runs once per distinct title and the answer is cached. The same question returns the same audience.</w:t>
      </w:r>
    </w:p>
    <w:p>
      <w:pPr>
        <w:pStyle w:val="ListBullet"/>
        <w:spacing w:after="60"/>
      </w:pPr>
      <w:r>
        <w:rPr>
          <w:b/>
          <w:color w:val="1D2733"/>
          <w:sz w:val="21"/>
        </w:rPr>
        <w:t xml:space="preserve">Calibrated rather than guessed. </w:t>
      </w:r>
      <w:r>
        <w:rPr>
          <w:color w:val="1D2733"/>
          <w:sz w:val="21"/>
        </w:rPr>
        <w:t>Every threshold in the system came from a measurement, and the measurement is reproducible.</w:t>
      </w:r>
    </w:p>
    <w:p>
      <w:pPr>
        <w:pStyle w:val="ListBullet"/>
        <w:spacing w:after="60"/>
      </w:pPr>
      <w:r>
        <w:rPr>
          <w:b/>
          <w:color w:val="1D2733"/>
          <w:sz w:val="21"/>
        </w:rPr>
        <w:t xml:space="preserve">Errors are caught by class, not by luck. </w:t>
      </w:r>
      <w:r>
        <w:rPr>
          <w:color w:val="1D2733"/>
          <w:sz w:val="21"/>
        </w:rPr>
        <w:t>The audit checks all 500 frequent departments against decisive word stems, so a whole family of mistakes is found at once.</w:t>
      </w:r>
    </w:p>
    <w:p>
      <w:pPr>
        <w:pStyle w:val="ListBullet"/>
        <w:spacing w:after="60"/>
      </w:pPr>
      <w:r>
        <w:rPr>
          <w:b/>
          <w:color w:val="1D2733"/>
          <w:sz w:val="21"/>
        </w:rPr>
        <w:t xml:space="preserve">Adding a role is configuration. </w:t>
      </w:r>
      <w:r>
        <w:rPr>
          <w:color w:val="1D2733"/>
          <w:sz w:val="21"/>
        </w:rPr>
        <w:t>A role is a query over two axes. The seventh role costs a day, not a quarter.</w:t>
      </w:r>
    </w:p>
    <w:p>
      <w:pPr>
        <w:pStyle w:val="ListBullet"/>
        <w:spacing w:after="60"/>
      </w:pPr>
      <w:r>
        <w:rPr>
          <w:b/>
          <w:color w:val="1D2733"/>
          <w:sz w:val="21"/>
        </w:rPr>
        <w:t xml:space="preserve">Every assignment carries its evidence. </w:t>
      </w:r>
      <w:r>
        <w:rPr>
          <w:color w:val="1D2733"/>
          <w:sz w:val="21"/>
        </w:rPr>
        <w:t>Each person in an audience is accompanied by the title, organisation and department that put them there.</w:t>
      </w:r>
    </w:p>
    <w:p>
      <w:pPr>
        <w:pStyle w:val="Heading2"/>
      </w:pPr>
      <w:r>
        <w:t>What it does not do, or does not do yet</w:t>
      </w:r>
    </w:p>
    <w:p>
      <w:pPr>
        <w:pStyle w:val="ListBullet"/>
        <w:spacing w:after="60"/>
      </w:pPr>
      <w:r>
        <w:rPr>
          <w:b/>
          <w:color w:val="1D2733"/>
          <w:sz w:val="21"/>
        </w:rPr>
        <w:t xml:space="preserve">Not yet run end to end. </w:t>
      </w:r>
      <w:r>
        <w:rPr>
          <w:color w:val="1D2733"/>
          <w:sz w:val="21"/>
        </w:rPr>
        <w:t>These results come from analysis queries. The dbt pipeline is written but has not produced a production table.</w:t>
      </w:r>
    </w:p>
    <w:p>
      <w:pPr>
        <w:pStyle w:val="ListBullet"/>
        <w:spacing w:after="60"/>
      </w:pPr>
      <w:r>
        <w:rPr>
          <w:b/>
          <w:color w:val="1D2733"/>
          <w:sz w:val="21"/>
        </w:rPr>
        <w:t xml:space="preserve">Tested on the frequent values only. </w:t>
      </w:r>
      <w:r>
        <w:rPr>
          <w:color w:val="1D2733"/>
          <w:sz w:val="21"/>
        </w:rPr>
        <w:t>Validation covered the 500 most common titles and departments. The long tail is unmeasured.</w:t>
      </w:r>
    </w:p>
    <w:p>
      <w:pPr>
        <w:pStyle w:val="ListBullet"/>
        <w:spacing w:after="60"/>
      </w:pPr>
      <w:r>
        <w:rPr>
          <w:b/>
          <w:color w:val="1D2733"/>
          <w:sz w:val="21"/>
        </w:rPr>
        <w:t xml:space="preserve">One label per department. </w:t>
      </w:r>
      <w:r>
        <w:rPr>
          <w:color w:val="1D2733"/>
          <w:sz w:val="21"/>
        </w:rPr>
        <w:t>“Electrical and computer engineering” is genuinely two disciplines; we currently assign one. It does not affect the current roles.</w:t>
      </w:r>
    </w:p>
    <w:p>
      <w:pPr>
        <w:pStyle w:val="ListBullet"/>
        <w:spacing w:after="60"/>
      </w:pPr>
      <w:r>
        <w:rPr>
          <w:b/>
          <w:color w:val="1D2733"/>
          <w:sz w:val="21"/>
        </w:rPr>
        <w:t xml:space="preserve">11.6% of records have no department. </w:t>
      </w:r>
      <w:r>
        <w:rPr>
          <w:color w:val="1D2733"/>
          <w:sz w:val="21"/>
        </w:rPr>
        <w:t>Those people get a position but no discipline, so they cannot qualify for HCP or pharmacist.</w:t>
      </w:r>
    </w:p>
    <w:p>
      <w:pPr>
        <w:pStyle w:val="ListBullet"/>
        <w:spacing w:after="60"/>
      </w:pPr>
      <w:r>
        <w:rPr>
          <w:b/>
          <w:color w:val="1D2733"/>
          <w:sz w:val="21"/>
        </w:rPr>
        <w:t xml:space="preserve">Some titles cannot be resolved at all. </w:t>
      </w:r>
      <w:r>
        <w:rPr>
          <w:color w:val="1D2733"/>
          <w:sz w:val="21"/>
        </w:rPr>
        <w:t>“Dr” appears on 96,439 records and is a courtesy title, not a role. These rely entirely on the department.</w:t>
      </w:r>
    </w:p>
    <w:p>
      <w:pPr>
        <w:pStyle w:val="ListBullet"/>
        <w:spacing w:after="60"/>
      </w:pPr>
      <w:r>
        <w:rPr>
          <w:b/>
          <w:color w:val="1D2733"/>
          <w:sz w:val="21"/>
        </w:rPr>
        <w:t xml:space="preserve">No second opinion on ambiguous cases. </w:t>
      </w:r>
      <w:r>
        <w:rPr>
          <w:color w:val="1D2733"/>
          <w:sz w:val="21"/>
        </w:rPr>
        <w:t>The LLM adjudication step has no Vertex AI connection yet. Ambiguous titles currently fall to human review.</w:t>
      </w:r>
    </w:p>
    <w:p>
      <w:pPr>
        <w:pStyle w:val="ListBullet"/>
        <w:spacing w:after="60"/>
      </w:pPr>
      <w:r>
        <w:rPr>
          <w:b/>
          <w:color w:val="1D2733"/>
          <w:sz w:val="21"/>
        </w:rPr>
        <w:t xml:space="preserve">The benchmark test has not been run. </w:t>
      </w:r>
      <w:r>
        <w:rPr>
          <w:color w:val="1D2733"/>
          <w:sz w:val="21"/>
        </w:rPr>
        <w:t>Reproducing the existing HCP list is the real validation gate and it is still ahead of us.</w:t>
      </w:r>
    </w:p>
    <w:p>
      <w:pPr>
        <w:pStyle w:val="Heading1"/>
      </w:pPr>
      <w:r>
        <w:t>9.  What happens next</w:t>
      </w:r>
    </w:p>
    <w:tbl>
      <w:tblPr>
        <w:tblStyle w:val="TableGrid"/>
        <w:tblW w:type="auto" w:w="0"/>
        <w:jc w:val="left"/>
        <w:tblLook w:firstColumn="1" w:firstRow="1" w:lastColumn="0" w:lastRow="0" w:noHBand="0" w:noVBand="1" w:val="04A0"/>
      </w:tblPr>
      <w:tblGrid>
        <w:gridCol w:w="3168"/>
        <w:gridCol w:w="3168"/>
        <w:gridCol w:w="3168"/>
      </w:tblGrid>
      <w:tr>
        <w:tc>
          <w:tcPr>
            <w:tcW w:type="dxa" w:w="504"/>
            <w:shd w:fill="EDF1F5"/>
          </w:tcPr>
          <w:p>
            <w:pPr>
              <w:spacing w:after="40"/>
            </w:pPr>
            <w:r/>
            <w:r>
              <w:rPr>
                <w:b/>
                <w:color w:val="454F5A"/>
                <w:sz w:val="18"/>
              </w:rPr>
              <w:t>#</w:t>
            </w:r>
          </w:p>
        </w:tc>
        <w:tc>
          <w:tcPr>
            <w:tcW w:type="dxa" w:w="3744"/>
            <w:shd w:fill="EDF1F5"/>
          </w:tcPr>
          <w:p>
            <w:pPr>
              <w:spacing w:after="40"/>
            </w:pPr>
            <w:r/>
            <w:r>
              <w:rPr>
                <w:b/>
                <w:color w:val="454F5A"/>
                <w:sz w:val="18"/>
              </w:rPr>
              <w:t>Step</w:t>
            </w:r>
          </w:p>
        </w:tc>
        <w:tc>
          <w:tcPr>
            <w:tcW w:type="dxa" w:w="5328"/>
            <w:shd w:fill="EDF1F5"/>
          </w:tcPr>
          <w:p>
            <w:pPr>
              <w:spacing w:after="40"/>
            </w:pPr>
            <w:r/>
            <w:r>
              <w:rPr>
                <w:b/>
                <w:color w:val="454F5A"/>
                <w:sz w:val="18"/>
              </w:rPr>
              <w:t>Why it matters</w:t>
            </w:r>
          </w:p>
        </w:tc>
      </w:tr>
      <w:tr>
        <w:tc>
          <w:tcPr>
            <w:tcW w:type="dxa" w:w="504"/>
          </w:tcPr>
          <w:p>
            <w:pPr>
              <w:spacing w:after="40"/>
            </w:pPr>
            <w:r/>
            <w:r>
              <w:rPr>
                <w:b w:val="0"/>
                <w:color w:val="1D2733"/>
                <w:sz w:val="19"/>
              </w:rPr>
              <w:t>1</w:t>
            </w:r>
          </w:p>
        </w:tc>
        <w:tc>
          <w:tcPr>
            <w:tcW w:type="dxa" w:w="3744"/>
          </w:tcPr>
          <w:p>
            <w:pPr>
              <w:spacing w:after="40"/>
            </w:pPr>
            <w:r/>
            <w:r>
              <w:rPr>
                <w:b w:val="0"/>
                <w:color w:val="1D2733"/>
                <w:sz w:val="19"/>
              </w:rPr>
              <w:t>Run the remaining validation queries</w:t>
            </w:r>
          </w:p>
        </w:tc>
        <w:tc>
          <w:tcPr>
            <w:tcW w:type="dxa" w:w="5328"/>
          </w:tcPr>
          <w:p>
            <w:pPr>
              <w:spacing w:after="40"/>
            </w:pPr>
            <w:r/>
            <w:r>
              <w:rPr>
                <w:b w:val="0"/>
                <w:color w:val="1D2733"/>
                <w:sz w:val="19"/>
              </w:rPr>
              <w:t>Confirms the corrected anchors on the title axis</w:t>
            </w:r>
          </w:p>
        </w:tc>
      </w:tr>
      <w:tr>
        <w:tc>
          <w:tcPr>
            <w:tcW w:type="dxa" w:w="504"/>
          </w:tcPr>
          <w:p>
            <w:pPr>
              <w:spacing w:after="40"/>
            </w:pPr>
            <w:r/>
            <w:r>
              <w:rPr>
                <w:b w:val="0"/>
                <w:color w:val="1D2733"/>
                <w:sz w:val="19"/>
              </w:rPr>
              <w:t>2</w:t>
            </w:r>
          </w:p>
        </w:tc>
        <w:tc>
          <w:tcPr>
            <w:tcW w:type="dxa" w:w="3744"/>
          </w:tcPr>
          <w:p>
            <w:pPr>
              <w:spacing w:after="40"/>
            </w:pPr>
            <w:r/>
            <w:r>
              <w:rPr>
                <w:b w:val="0"/>
                <w:color w:val="1D2733"/>
                <w:sz w:val="19"/>
              </w:rPr>
              <w:t>Rebuild the dbt models around the two axes</w:t>
            </w:r>
          </w:p>
        </w:tc>
        <w:tc>
          <w:tcPr>
            <w:tcW w:type="dxa" w:w="5328"/>
          </w:tcPr>
          <w:p>
            <w:pPr>
              <w:spacing w:after="40"/>
            </w:pPr>
            <w:r/>
            <w:r>
              <w:rPr>
                <w:b w:val="0"/>
                <w:color w:val="1D2733"/>
                <w:sz w:val="19"/>
              </w:rPr>
              <w:t>Turns the validated design into production tables</w:t>
            </w:r>
          </w:p>
        </w:tc>
      </w:tr>
      <w:tr>
        <w:tc>
          <w:tcPr>
            <w:tcW w:type="dxa" w:w="504"/>
            <w:shd w:fill="F2F7FF"/>
          </w:tcPr>
          <w:p>
            <w:pPr>
              <w:spacing w:after="40"/>
            </w:pPr>
            <w:r/>
            <w:r>
              <w:rPr>
                <w:b w:val="0"/>
                <w:color w:val="1D2733"/>
                <w:sz w:val="19"/>
              </w:rPr>
              <w:t>3</w:t>
            </w:r>
          </w:p>
        </w:tc>
        <w:tc>
          <w:tcPr>
            <w:tcW w:type="dxa" w:w="3744"/>
            <w:shd w:fill="F2F7FF"/>
          </w:tcPr>
          <w:p>
            <w:pPr>
              <w:spacing w:after="40"/>
            </w:pPr>
            <w:r/>
            <w:r>
              <w:rPr>
                <w:b w:val="0"/>
                <w:color w:val="1D2733"/>
                <w:sz w:val="19"/>
              </w:rPr>
              <w:t>Reproduce the existing HCP list</w:t>
            </w:r>
          </w:p>
        </w:tc>
        <w:tc>
          <w:tcPr>
            <w:tcW w:type="dxa" w:w="5328"/>
            <w:shd w:fill="F2F7FF"/>
          </w:tcPr>
          <w:p>
            <w:pPr>
              <w:spacing w:after="40"/>
            </w:pPr>
            <w:r/>
            <w:r>
              <w:rPr>
                <w:b/>
                <w:color w:val="C13A39"/>
                <w:sz w:val="19"/>
              </w:rPr>
              <w:t>The gate. Nothing is built on top until this passes</w:t>
            </w:r>
          </w:p>
        </w:tc>
      </w:tr>
      <w:tr>
        <w:tc>
          <w:tcPr>
            <w:tcW w:type="dxa" w:w="504"/>
          </w:tcPr>
          <w:p>
            <w:pPr>
              <w:spacing w:after="40"/>
            </w:pPr>
            <w:r/>
            <w:r>
              <w:rPr>
                <w:b w:val="0"/>
                <w:color w:val="1D2733"/>
                <w:sz w:val="19"/>
              </w:rPr>
              <w:t>4</w:t>
            </w:r>
          </w:p>
        </w:tc>
        <w:tc>
          <w:tcPr>
            <w:tcW w:type="dxa" w:w="3744"/>
          </w:tcPr>
          <w:p>
            <w:pPr>
              <w:spacing w:after="40"/>
            </w:pPr>
            <w:r/>
            <w:r>
              <w:rPr>
                <w:b w:val="0"/>
                <w:color w:val="1D2733"/>
                <w:sz w:val="19"/>
              </w:rPr>
              <w:t>Produce audiences for the four surviving roles</w:t>
            </w:r>
          </w:p>
        </w:tc>
        <w:tc>
          <w:tcPr>
            <w:tcW w:type="dxa" w:w="5328"/>
          </w:tcPr>
          <w:p>
            <w:pPr>
              <w:spacing w:after="40"/>
            </w:pPr>
            <w:r/>
            <w:r>
              <w:rPr>
                <w:b w:val="0"/>
                <w:color w:val="1D2733"/>
                <w:sz w:val="19"/>
              </w:rPr>
              <w:t>researcher, lecturer, faculty_head, hcp, pharmacist</w:t>
            </w:r>
          </w:p>
        </w:tc>
      </w:tr>
      <w:tr>
        <w:tc>
          <w:tcPr>
            <w:tcW w:type="dxa" w:w="504"/>
          </w:tcPr>
          <w:p>
            <w:pPr>
              <w:spacing w:after="40"/>
            </w:pPr>
            <w:r/>
            <w:r>
              <w:rPr>
                <w:b w:val="0"/>
                <w:color w:val="1D2733"/>
                <w:sz w:val="19"/>
              </w:rPr>
              <w:t>5</w:t>
            </w:r>
          </w:p>
        </w:tc>
        <w:tc>
          <w:tcPr>
            <w:tcW w:type="dxa" w:w="3744"/>
          </w:tcPr>
          <w:p>
            <w:pPr>
              <w:spacing w:after="40"/>
            </w:pPr>
            <w:r/>
            <w:r>
              <w:rPr>
                <w:b w:val="0"/>
                <w:color w:val="1D2733"/>
                <w:sz w:val="19"/>
              </w:rPr>
              <w:t>Review the most frequent ambiguous titles by hand</w:t>
            </w:r>
          </w:p>
        </w:tc>
        <w:tc>
          <w:tcPr>
            <w:tcW w:type="dxa" w:w="5328"/>
          </w:tcPr>
          <w:p>
            <w:pPr>
              <w:spacing w:after="40"/>
            </w:pPr>
            <w:r/>
            <w:r>
              <w:rPr>
                <w:b w:val="0"/>
                <w:color w:val="1D2733"/>
                <w:sz w:val="19"/>
              </w:rPr>
              <w:t>A few hundred titles cover a large share of people</w:t>
            </w:r>
          </w:p>
        </w:tc>
      </w:tr>
      <w:tr>
        <w:tc>
          <w:tcPr>
            <w:tcW w:type="dxa" w:w="504"/>
          </w:tcPr>
          <w:p>
            <w:pPr>
              <w:spacing w:after="40"/>
            </w:pPr>
            <w:r/>
            <w:r>
              <w:rPr>
                <w:b w:val="0"/>
                <w:color w:val="1D2733"/>
                <w:sz w:val="19"/>
              </w:rPr>
              <w:t>6</w:t>
            </w:r>
          </w:p>
        </w:tc>
        <w:tc>
          <w:tcPr>
            <w:tcW w:type="dxa" w:w="3744"/>
          </w:tcPr>
          <w:p>
            <w:pPr>
              <w:spacing w:after="40"/>
            </w:pPr>
            <w:r/>
            <w:r>
              <w:rPr>
                <w:b w:val="0"/>
                <w:color w:val="1D2733"/>
                <w:sz w:val="19"/>
              </w:rPr>
              <w:t>Deliver to the Braze contract</w:t>
            </w:r>
          </w:p>
        </w:tc>
        <w:tc>
          <w:tcPr>
            <w:tcW w:type="dxa" w:w="5328"/>
          </w:tcPr>
          <w:p>
            <w:pPr>
              <w:spacing w:after="40"/>
            </w:pPr>
            <w:r/>
            <w:r>
              <w:rPr>
                <w:b w:val="0"/>
                <w:color w:val="1D2733"/>
                <w:sz w:val="19"/>
              </w:rPr>
              <w:t>Final schema, with consent applied</w:t>
            </w:r>
          </w:p>
        </w:tc>
      </w:tr>
    </w:tbl>
    <w:p>
      <w:pPr>
        <w:spacing w:after="80"/>
      </w:pPr>
    </w:p>
    <w:p>
      <w:pPr>
        <w:pStyle w:val="Heading2"/>
      </w:pPr>
      <w:r>
        <w:t>Open decisions</w:t>
      </w:r>
    </w:p>
    <w:tbl>
      <w:tblPr>
        <w:tblStyle w:val="TableGrid"/>
        <w:tblW w:type="auto" w:w="0"/>
        <w:jc w:val="left"/>
        <w:tblLook w:firstColumn="1" w:firstRow="1" w:lastColumn="0" w:lastRow="0" w:noHBand="0" w:noVBand="1" w:val="04A0"/>
      </w:tblPr>
      <w:tblGrid>
        <w:gridCol w:w="3168"/>
        <w:gridCol w:w="3168"/>
        <w:gridCol w:w="3168"/>
      </w:tblGrid>
      <w:tr>
        <w:tc>
          <w:tcPr>
            <w:tcW w:type="dxa" w:w="3312"/>
            <w:shd w:fill="EDF1F5"/>
          </w:tcPr>
          <w:p>
            <w:pPr>
              <w:spacing w:after="40"/>
            </w:pPr>
            <w:r/>
            <w:r>
              <w:rPr>
                <w:b/>
                <w:color w:val="454F5A"/>
                <w:sz w:val="18"/>
              </w:rPr>
              <w:t>Question</w:t>
            </w:r>
          </w:p>
        </w:tc>
        <w:tc>
          <w:tcPr>
            <w:tcW w:type="dxa" w:w="1728"/>
            <w:shd w:fill="EDF1F5"/>
          </w:tcPr>
          <w:p>
            <w:pPr>
              <w:spacing w:after="40"/>
            </w:pPr>
            <w:r/>
            <w:r>
              <w:rPr>
                <w:b/>
                <w:color w:val="454F5A"/>
                <w:sz w:val="18"/>
              </w:rPr>
              <w:t>Owner</w:t>
            </w:r>
          </w:p>
        </w:tc>
        <w:tc>
          <w:tcPr>
            <w:tcW w:type="dxa" w:w="4608"/>
            <w:shd w:fill="EDF1F5"/>
          </w:tcPr>
          <w:p>
            <w:pPr>
              <w:spacing w:after="40"/>
            </w:pPr>
            <w:r/>
            <w:r>
              <w:rPr>
                <w:b/>
                <w:color w:val="454F5A"/>
                <w:sz w:val="18"/>
              </w:rPr>
              <w:t>Consequence</w:t>
            </w:r>
          </w:p>
        </w:tc>
      </w:tr>
      <w:tr>
        <w:tc>
          <w:tcPr>
            <w:tcW w:type="dxa" w:w="3312"/>
          </w:tcPr>
          <w:p>
            <w:pPr>
              <w:spacing w:after="40"/>
            </w:pPr>
            <w:r/>
            <w:r>
              <w:rPr>
                <w:b w:val="0"/>
                <w:color w:val="1D2733"/>
                <w:sz w:val="19"/>
              </w:rPr>
              <w:t>Vertex AI connection for Gemini</w:t>
            </w:r>
          </w:p>
        </w:tc>
        <w:tc>
          <w:tcPr>
            <w:tcW w:type="dxa" w:w="1728"/>
          </w:tcPr>
          <w:p>
            <w:pPr>
              <w:spacing w:after="40"/>
            </w:pPr>
            <w:r/>
            <w:r>
              <w:rPr>
                <w:b w:val="0"/>
                <w:color w:val="1D2733"/>
                <w:sz w:val="19"/>
              </w:rPr>
              <w:t>Infrastructure</w:t>
            </w:r>
          </w:p>
        </w:tc>
        <w:tc>
          <w:tcPr>
            <w:tcW w:type="dxa" w:w="4608"/>
          </w:tcPr>
          <w:p>
            <w:pPr>
              <w:spacing w:after="40"/>
            </w:pPr>
            <w:r/>
            <w:r>
              <w:rPr>
                <w:b w:val="0"/>
                <w:color w:val="1D2733"/>
                <w:sz w:val="19"/>
              </w:rPr>
              <w:t>Without it, ambiguous titles need manual review on every new role</w:t>
            </w:r>
          </w:p>
        </w:tc>
      </w:tr>
      <w:tr>
        <w:tc>
          <w:tcPr>
            <w:tcW w:type="dxa" w:w="3312"/>
          </w:tcPr>
          <w:p>
            <w:pPr>
              <w:spacing w:after="40"/>
            </w:pPr>
            <w:r/>
            <w:r>
              <w:rPr>
                <w:b w:val="0"/>
                <w:color w:val="1D2733"/>
                <w:sz w:val="19"/>
              </w:rPr>
              <w:t>Marketing consent or legitimate interest</w:t>
            </w:r>
          </w:p>
        </w:tc>
        <w:tc>
          <w:tcPr>
            <w:tcW w:type="dxa" w:w="1728"/>
          </w:tcPr>
          <w:p>
            <w:pPr>
              <w:spacing w:after="40"/>
            </w:pPr>
            <w:r/>
            <w:r>
              <w:rPr>
                <w:b w:val="0"/>
                <w:color w:val="1D2733"/>
                <w:sz w:val="19"/>
              </w:rPr>
              <w:t>Data protection</w:t>
            </w:r>
          </w:p>
        </w:tc>
        <w:tc>
          <w:tcPr>
            <w:tcW w:type="dxa" w:w="4608"/>
          </w:tcPr>
          <w:p>
            <w:pPr>
              <w:spacing w:after="40"/>
            </w:pPr>
            <w:r/>
            <w:r>
              <w:rPr>
                <w:b w:val="0"/>
                <w:color w:val="1D2733"/>
                <w:sz w:val="19"/>
              </w:rPr>
              <w:t>423,904 contacts versus 1,684,121</w:t>
            </w:r>
          </w:p>
        </w:tc>
      </w:tr>
      <w:tr>
        <w:tc>
          <w:tcPr>
            <w:tcW w:type="dxa" w:w="3312"/>
          </w:tcPr>
          <w:p>
            <w:pPr>
              <w:spacing w:after="40"/>
            </w:pPr>
            <w:r/>
            <w:r>
              <w:rPr>
                <w:b w:val="0"/>
                <w:color w:val="1D2733"/>
                <w:sz w:val="19"/>
              </w:rPr>
              <w:t>Whether a librarian audience is needed at all</w:t>
            </w:r>
          </w:p>
        </w:tc>
        <w:tc>
          <w:tcPr>
            <w:tcW w:type="dxa" w:w="1728"/>
          </w:tcPr>
          <w:p>
            <w:pPr>
              <w:spacing w:after="40"/>
            </w:pPr>
            <w:r/>
            <w:r>
              <w:rPr>
                <w:b w:val="0"/>
                <w:color w:val="1D2733"/>
                <w:sz w:val="19"/>
              </w:rPr>
              <w:t>Commercial</w:t>
            </w:r>
          </w:p>
        </w:tc>
        <w:tc>
          <w:tcPr>
            <w:tcW w:type="dxa" w:w="4608"/>
          </w:tcPr>
          <w:p>
            <w:pPr>
              <w:spacing w:after="40"/>
            </w:pPr>
            <w:r/>
            <w:r>
              <w:rPr>
                <w:b w:val="0"/>
                <w:color w:val="1D2733"/>
                <w:sz w:val="19"/>
              </w:rPr>
              <w:t>If yes, it needs a source other than ORCID</w:t>
            </w:r>
          </w:p>
        </w:tc>
      </w:tr>
    </w:tbl>
    <w:p>
      <w:pPr>
        <w:spacing w:after="80"/>
      </w:pPr>
    </w:p>
    <w:p>
      <w:r>
        <w:br w:type="page"/>
      </w:r>
    </w:p>
    <w:p>
      <w:pPr>
        <w:pStyle w:val="Heading1"/>
      </w:pPr>
      <w:r>
        <w:t>Appendix — every measurement</w:t>
      </w:r>
    </w:p>
    <w:p>
      <w:pPr>
        <w:spacing w:after="140"/>
      </w:pPr>
      <w:r>
        <w:rPr>
          <w:b w:val="0"/>
          <w:i w:val="0"/>
          <w:color w:val="59636E"/>
          <w:sz w:val="19"/>
        </w:rPr>
        <w:t>All figures were produced by queries against the live tables. The queries are version controlled alongside the pipeline.</w:t>
      </w:r>
    </w:p>
    <w:p>
      <w:pPr>
        <w:pStyle w:val="Heading3"/>
      </w:pPr>
      <w:r>
        <w:t>Population and volume</w:t>
      </w:r>
    </w:p>
    <w:tbl>
      <w:tblPr>
        <w:tblStyle w:val="TableGrid"/>
        <w:tblW w:type="auto" w:w="0"/>
        <w:jc w:val="left"/>
        <w:tblLook w:firstColumn="1" w:firstRow="1" w:lastColumn="0" w:lastRow="0" w:noHBand="0" w:noVBand="1" w:val="04A0"/>
      </w:tblPr>
      <w:tblGrid>
        <w:gridCol w:w="3168"/>
        <w:gridCol w:w="3168"/>
        <w:gridCol w:w="3168"/>
      </w:tblGrid>
      <w:tr>
        <w:tc>
          <w:tcPr>
            <w:tcW w:type="dxa" w:w="3456"/>
            <w:shd w:fill="EDF1F5"/>
          </w:tcPr>
          <w:p>
            <w:pPr>
              <w:spacing w:after="40"/>
            </w:pPr>
            <w:r/>
            <w:r>
              <w:rPr>
                <w:b/>
                <w:color w:val="454F5A"/>
                <w:sz w:val="18"/>
              </w:rPr>
              <w:t>Measure</w:t>
            </w:r>
          </w:p>
        </w:tc>
        <w:tc>
          <w:tcPr>
            <w:tcW w:type="dxa" w:w="2016"/>
            <w:shd w:fill="EDF1F5"/>
          </w:tcPr>
          <w:p>
            <w:pPr>
              <w:spacing w:after="40"/>
              <w:jc w:val="right"/>
            </w:pPr>
            <w:r/>
            <w:r>
              <w:rPr>
                <w:b/>
                <w:color w:val="454F5A"/>
                <w:sz w:val="18"/>
              </w:rPr>
              <w:t>Figure</w:t>
            </w:r>
          </w:p>
        </w:tc>
        <w:tc>
          <w:tcPr>
            <w:tcW w:type="dxa" w:w="4176"/>
            <w:shd w:fill="EDF1F5"/>
          </w:tcPr>
          <w:p>
            <w:pPr>
              <w:spacing w:after="40"/>
            </w:pPr>
            <w:r/>
            <w:r>
              <w:rPr>
                <w:b/>
                <w:color w:val="454F5A"/>
                <w:sz w:val="18"/>
              </w:rPr>
              <w:t>What it decided</w:t>
            </w:r>
          </w:p>
        </w:tc>
      </w:tr>
      <w:tr>
        <w:tc>
          <w:tcPr>
            <w:tcW w:type="dxa" w:w="3456"/>
          </w:tcPr>
          <w:p>
            <w:pPr>
              <w:spacing w:after="40"/>
            </w:pPr>
            <w:r/>
            <w:r>
              <w:rPr>
                <w:b w:val="0"/>
                <w:color w:val="1D2733"/>
                <w:sz w:val="19"/>
              </w:rPr>
              <w:t>ORCID profiles</w:t>
            </w:r>
          </w:p>
        </w:tc>
        <w:tc>
          <w:tcPr>
            <w:tcW w:type="dxa" w:w="2016"/>
          </w:tcPr>
          <w:p>
            <w:pPr>
              <w:spacing w:after="40"/>
              <w:jc w:val="right"/>
            </w:pPr>
            <w:r/>
            <w:r>
              <w:rPr>
                <w:rFonts w:ascii="Consolas" w:hAnsi="Consolas"/>
                <w:b w:val="0"/>
                <w:color w:val="1D2733"/>
                <w:sz w:val="19"/>
              </w:rPr>
              <w:t>24,864,410</w:t>
            </w:r>
          </w:p>
        </w:tc>
        <w:tc>
          <w:tcPr>
            <w:tcW w:type="dxa" w:w="4176"/>
          </w:tcPr>
          <w:p>
            <w:pPr>
              <w:spacing w:after="40"/>
            </w:pPr>
            <w:r/>
            <w:r>
              <w:rPr>
                <w:b w:val="0"/>
                <w:color w:val="1D2733"/>
                <w:sz w:val="19"/>
              </w:rPr>
              <w:t>The starting point</w:t>
            </w:r>
          </w:p>
        </w:tc>
      </w:tr>
      <w:tr>
        <w:tc>
          <w:tcPr>
            <w:tcW w:type="dxa" w:w="3456"/>
          </w:tcPr>
          <w:p>
            <w:pPr>
              <w:spacing w:after="40"/>
            </w:pPr>
            <w:r/>
            <w:r>
              <w:rPr>
                <w:b w:val="0"/>
                <w:color w:val="1D2733"/>
                <w:sz w:val="19"/>
              </w:rPr>
              <w:t>Carrying an identity</w:t>
            </w:r>
          </w:p>
        </w:tc>
        <w:tc>
          <w:tcPr>
            <w:tcW w:type="dxa" w:w="2016"/>
          </w:tcPr>
          <w:p>
            <w:pPr>
              <w:spacing w:after="40"/>
              <w:jc w:val="right"/>
            </w:pPr>
            <w:r/>
            <w:r>
              <w:rPr>
                <w:rFonts w:ascii="Consolas" w:hAnsi="Consolas"/>
                <w:b w:val="0"/>
                <w:color w:val="1D2733"/>
                <w:sz w:val="19"/>
              </w:rPr>
              <w:t>1,755,447</w:t>
            </w:r>
          </w:p>
        </w:tc>
        <w:tc>
          <w:tcPr>
            <w:tcW w:type="dxa" w:w="4176"/>
          </w:tcPr>
          <w:p>
            <w:pPr>
              <w:spacing w:after="40"/>
            </w:pPr>
            <w:r/>
            <w:r>
              <w:rPr>
                <w:b w:val="0"/>
                <w:color w:val="1D2733"/>
                <w:sz w:val="19"/>
              </w:rPr>
              <w:t>The real population; filtered at source</w:t>
            </w:r>
          </w:p>
        </w:tc>
      </w:tr>
      <w:tr>
        <w:tc>
          <w:tcPr>
            <w:tcW w:type="dxa" w:w="3456"/>
          </w:tcPr>
          <w:p>
            <w:pPr>
              <w:spacing w:after="40"/>
            </w:pPr>
            <w:r/>
            <w:r>
              <w:rPr>
                <w:b w:val="0"/>
                <w:color w:val="1D2733"/>
                <w:sz w:val="19"/>
              </w:rPr>
              <w:t>With a usable employment record</w:t>
            </w:r>
          </w:p>
        </w:tc>
        <w:tc>
          <w:tcPr>
            <w:tcW w:type="dxa" w:w="2016"/>
          </w:tcPr>
          <w:p>
            <w:pPr>
              <w:spacing w:after="40"/>
              <w:jc w:val="right"/>
            </w:pPr>
            <w:r/>
            <w:r>
              <w:rPr>
                <w:rFonts w:ascii="Consolas" w:hAnsi="Consolas"/>
                <w:b w:val="0"/>
                <w:color w:val="1D2733"/>
                <w:sz w:val="19"/>
              </w:rPr>
              <w:t>823,427</w:t>
            </w:r>
          </w:p>
        </w:tc>
        <w:tc>
          <w:tcPr>
            <w:tcW w:type="dxa" w:w="4176"/>
          </w:tcPr>
          <w:p>
            <w:pPr>
              <w:spacing w:after="40"/>
            </w:pPr>
            <w:r/>
            <w:r>
              <w:rPr>
                <w:b w:val="0"/>
                <w:color w:val="1D2733"/>
                <w:sz w:val="19"/>
              </w:rPr>
              <w:t>The true base for role assignment</w:t>
            </w:r>
          </w:p>
        </w:tc>
      </w:tr>
      <w:tr>
        <w:tc>
          <w:tcPr>
            <w:tcW w:type="dxa" w:w="3456"/>
          </w:tcPr>
          <w:p>
            <w:pPr>
              <w:spacing w:after="40"/>
            </w:pPr>
            <w:r/>
            <w:r>
              <w:rPr>
                <w:b w:val="0"/>
                <w:color w:val="1D2733"/>
                <w:sz w:val="19"/>
              </w:rPr>
              <w:t>Present in CDP</w:t>
            </w:r>
          </w:p>
        </w:tc>
        <w:tc>
          <w:tcPr>
            <w:tcW w:type="dxa" w:w="2016"/>
          </w:tcPr>
          <w:p>
            <w:pPr>
              <w:spacing w:after="40"/>
              <w:jc w:val="right"/>
            </w:pPr>
            <w:r/>
            <w:r>
              <w:rPr>
                <w:rFonts w:ascii="Consolas" w:hAnsi="Consolas"/>
                <w:b w:val="0"/>
                <w:color w:val="1D2733"/>
                <w:sz w:val="19"/>
              </w:rPr>
              <w:t>1,684,121</w:t>
            </w:r>
          </w:p>
        </w:tc>
        <w:tc>
          <w:tcPr>
            <w:tcW w:type="dxa" w:w="4176"/>
          </w:tcPr>
          <w:p>
            <w:pPr>
              <w:spacing w:after="40"/>
            </w:pPr>
            <w:r/>
            <w:r>
              <w:rPr>
                <w:b w:val="0"/>
                <w:color w:val="1D2733"/>
                <w:sz w:val="19"/>
              </w:rPr>
              <w:t>95.9% — linkage is not a problem</w:t>
            </w:r>
          </w:p>
        </w:tc>
      </w:tr>
      <w:tr>
        <w:tc>
          <w:tcPr>
            <w:tcW w:type="dxa" w:w="3456"/>
          </w:tcPr>
          <w:p>
            <w:pPr>
              <w:spacing w:after="40"/>
            </w:pPr>
            <w:r/>
            <w:r>
              <w:rPr>
                <w:b w:val="0"/>
                <w:color w:val="1D2733"/>
                <w:sz w:val="19"/>
              </w:rPr>
              <w:t>Marketing consent</w:t>
            </w:r>
          </w:p>
        </w:tc>
        <w:tc>
          <w:tcPr>
            <w:tcW w:type="dxa" w:w="2016"/>
          </w:tcPr>
          <w:p>
            <w:pPr>
              <w:spacing w:after="40"/>
              <w:jc w:val="right"/>
            </w:pPr>
            <w:r/>
            <w:r>
              <w:rPr>
                <w:rFonts w:ascii="Consolas" w:hAnsi="Consolas"/>
                <w:b w:val="0"/>
                <w:color w:val="1D2733"/>
                <w:sz w:val="19"/>
              </w:rPr>
              <w:t>423,904</w:t>
            </w:r>
          </w:p>
        </w:tc>
        <w:tc>
          <w:tcPr>
            <w:tcW w:type="dxa" w:w="4176"/>
          </w:tcPr>
          <w:p>
            <w:pPr>
              <w:spacing w:after="40"/>
            </w:pPr>
            <w:r/>
            <w:r>
              <w:rPr>
                <w:b w:val="0"/>
                <w:color w:val="1D2733"/>
                <w:sz w:val="19"/>
              </w:rPr>
              <w:t>The binding constraint</w:t>
            </w:r>
          </w:p>
        </w:tc>
      </w:tr>
      <w:tr>
        <w:tc>
          <w:tcPr>
            <w:tcW w:type="dxa" w:w="3456"/>
          </w:tcPr>
          <w:p>
            <w:pPr>
              <w:spacing w:after="40"/>
            </w:pPr>
            <w:r/>
            <w:r>
              <w:rPr>
                <w:b w:val="0"/>
                <w:color w:val="1D2733"/>
                <w:sz w:val="19"/>
              </w:rPr>
              <w:t>Advertising consent</w:t>
            </w:r>
          </w:p>
        </w:tc>
        <w:tc>
          <w:tcPr>
            <w:tcW w:type="dxa" w:w="2016"/>
          </w:tcPr>
          <w:p>
            <w:pPr>
              <w:spacing w:after="40"/>
              <w:jc w:val="right"/>
            </w:pPr>
            <w:r/>
            <w:r>
              <w:rPr>
                <w:rFonts w:ascii="Consolas" w:hAnsi="Consolas"/>
                <w:b w:val="0"/>
                <w:color w:val="1D2733"/>
                <w:sz w:val="19"/>
              </w:rPr>
              <w:t>328,406</w:t>
            </w:r>
          </w:p>
        </w:tc>
        <w:tc>
          <w:tcPr>
            <w:tcW w:type="dxa" w:w="4176"/>
          </w:tcPr>
          <w:p>
            <w:pPr>
              <w:spacing w:after="40"/>
            </w:pPr>
            <w:r/>
            <w:r>
              <w:rPr>
                <w:b w:val="0"/>
                <w:color w:val="1D2733"/>
                <w:sz w:val="19"/>
              </w:rPr>
              <w:t>Tighter still</w:t>
            </w:r>
          </w:p>
        </w:tc>
      </w:tr>
      <w:tr>
        <w:tc>
          <w:tcPr>
            <w:tcW w:type="dxa" w:w="3456"/>
          </w:tcPr>
          <w:p>
            <w:pPr>
              <w:spacing w:after="40"/>
            </w:pPr>
            <w:r/>
            <w:r>
              <w:rPr>
                <w:b w:val="0"/>
                <w:color w:val="1D2733"/>
                <w:sz w:val="19"/>
              </w:rPr>
              <w:t>Employment records</w:t>
            </w:r>
          </w:p>
        </w:tc>
        <w:tc>
          <w:tcPr>
            <w:tcW w:type="dxa" w:w="2016"/>
          </w:tcPr>
          <w:p>
            <w:pPr>
              <w:spacing w:after="40"/>
              <w:jc w:val="right"/>
            </w:pPr>
            <w:r/>
            <w:r>
              <w:rPr>
                <w:rFonts w:ascii="Consolas" w:hAnsi="Consolas"/>
                <w:b w:val="0"/>
                <w:color w:val="1D2733"/>
                <w:sz w:val="19"/>
              </w:rPr>
              <w:t>38,656,511</w:t>
            </w:r>
          </w:p>
        </w:tc>
        <w:tc>
          <w:tcPr>
            <w:tcW w:type="dxa" w:w="4176"/>
          </w:tcPr>
          <w:p>
            <w:pPr>
              <w:spacing w:after="40"/>
            </w:pPr>
            <w:r/>
            <w:r>
              <w:rPr>
                <w:b w:val="0"/>
                <w:color w:val="1D2733"/>
                <w:sz w:val="19"/>
              </w:rPr>
              <w:t>The volume to process</w:t>
            </w:r>
          </w:p>
        </w:tc>
      </w:tr>
      <w:tr>
        <w:tc>
          <w:tcPr>
            <w:tcW w:type="dxa" w:w="3456"/>
          </w:tcPr>
          <w:p>
            <w:pPr>
              <w:spacing w:after="40"/>
            </w:pPr>
            <w:r/>
            <w:r>
              <w:rPr>
                <w:b w:val="0"/>
                <w:color w:val="1D2733"/>
                <w:sz w:val="19"/>
              </w:rPr>
              <w:t>Distinct job titles</w:t>
            </w:r>
          </w:p>
        </w:tc>
        <w:tc>
          <w:tcPr>
            <w:tcW w:type="dxa" w:w="2016"/>
          </w:tcPr>
          <w:p>
            <w:pPr>
              <w:spacing w:after="40"/>
              <w:jc w:val="right"/>
            </w:pPr>
            <w:r/>
            <w:r>
              <w:rPr>
                <w:rFonts w:ascii="Consolas" w:hAnsi="Consolas"/>
                <w:b w:val="0"/>
                <w:color w:val="1D2733"/>
                <w:sz w:val="19"/>
              </w:rPr>
              <w:t>355,803</w:t>
            </w:r>
          </w:p>
        </w:tc>
        <w:tc>
          <w:tcPr>
            <w:tcW w:type="dxa" w:w="4176"/>
          </w:tcPr>
          <w:p>
            <w:pPr>
              <w:spacing w:after="40"/>
            </w:pPr>
            <w:r/>
            <w:r>
              <w:rPr>
                <w:b w:val="0"/>
                <w:color w:val="1D2733"/>
                <w:sz w:val="19"/>
              </w:rPr>
              <w:t>Dictionary size, and cost</w:t>
            </w:r>
          </w:p>
        </w:tc>
      </w:tr>
      <w:tr>
        <w:tc>
          <w:tcPr>
            <w:tcW w:type="dxa" w:w="3456"/>
          </w:tcPr>
          <w:p>
            <w:pPr>
              <w:spacing w:after="40"/>
            </w:pPr>
            <w:r/>
            <w:r>
              <w:rPr>
                <w:b w:val="0"/>
                <w:color w:val="1D2733"/>
                <w:sz w:val="19"/>
              </w:rPr>
              <w:t>Education records</w:t>
            </w:r>
          </w:p>
        </w:tc>
        <w:tc>
          <w:tcPr>
            <w:tcW w:type="dxa" w:w="2016"/>
          </w:tcPr>
          <w:p>
            <w:pPr>
              <w:spacing w:after="40"/>
              <w:jc w:val="right"/>
            </w:pPr>
            <w:r/>
            <w:r>
              <w:rPr>
                <w:rFonts w:ascii="Consolas" w:hAnsi="Consolas"/>
                <w:b w:val="0"/>
                <w:color w:val="1D2733"/>
                <w:sz w:val="19"/>
              </w:rPr>
              <w:t>25,649,641</w:t>
            </w:r>
          </w:p>
        </w:tc>
        <w:tc>
          <w:tcPr>
            <w:tcW w:type="dxa" w:w="4176"/>
          </w:tcPr>
          <w:p>
            <w:pPr>
              <w:spacing w:after="40"/>
            </w:pPr>
            <w:r/>
            <w:r>
              <w:rPr>
                <w:b w:val="0"/>
                <w:color w:val="1D2733"/>
                <w:sz w:val="19"/>
              </w:rPr>
              <w:t>Basis for the dropped bonus signal</w:t>
            </w:r>
          </w:p>
        </w:tc>
      </w:tr>
      <w:tr>
        <w:tc>
          <w:tcPr>
            <w:tcW w:type="dxa" w:w="3456"/>
          </w:tcPr>
          <w:p>
            <w:pPr>
              <w:spacing w:after="40"/>
            </w:pPr>
            <w:r/>
            <w:r>
              <w:rPr>
                <w:b w:val="0"/>
                <w:color w:val="1D2733"/>
                <w:sz w:val="19"/>
              </w:rPr>
              <w:t>Publication records</w:t>
            </w:r>
          </w:p>
        </w:tc>
        <w:tc>
          <w:tcPr>
            <w:tcW w:type="dxa" w:w="2016"/>
          </w:tcPr>
          <w:p>
            <w:pPr>
              <w:spacing w:after="40"/>
              <w:jc w:val="right"/>
            </w:pPr>
            <w:r/>
            <w:r>
              <w:rPr>
                <w:rFonts w:ascii="Consolas" w:hAnsi="Consolas"/>
                <w:b w:val="0"/>
                <w:color w:val="1D2733"/>
                <w:sz w:val="19"/>
              </w:rPr>
              <w:t>1,237,919,689</w:t>
            </w:r>
          </w:p>
        </w:tc>
        <w:tc>
          <w:tcPr>
            <w:tcW w:type="dxa" w:w="4176"/>
          </w:tcPr>
          <w:p>
            <w:pPr>
              <w:spacing w:after="40"/>
            </w:pPr>
            <w:r/>
            <w:r>
              <w:rPr>
                <w:b w:val="0"/>
                <w:color w:val="1D2733"/>
                <w:sz w:val="19"/>
              </w:rPr>
              <w:t>Future signal — 783,044 distinct journals</w:t>
            </w:r>
          </w:p>
        </w:tc>
      </w:tr>
    </w:tbl>
    <w:p>
      <w:pPr>
        <w:spacing w:after="80"/>
      </w:pPr>
    </w:p>
    <w:p>
      <w:pPr>
        <w:pStyle w:val="Heading3"/>
      </w:pPr>
      <w:r>
        <w:t>Data quality</w:t>
      </w:r>
    </w:p>
    <w:tbl>
      <w:tblPr>
        <w:tblStyle w:val="TableGrid"/>
        <w:tblW w:type="auto" w:w="0"/>
        <w:jc w:val="left"/>
        <w:tblLook w:firstColumn="1" w:firstRow="1" w:lastColumn="0" w:lastRow="0" w:noHBand="0" w:noVBand="1" w:val="04A0"/>
      </w:tblPr>
      <w:tblGrid>
        <w:gridCol w:w="3168"/>
        <w:gridCol w:w="3168"/>
        <w:gridCol w:w="3168"/>
      </w:tblGrid>
      <w:tr>
        <w:tc>
          <w:tcPr>
            <w:tcW w:type="dxa" w:w="3456"/>
            <w:shd w:fill="EDF1F5"/>
          </w:tcPr>
          <w:p>
            <w:pPr>
              <w:spacing w:after="40"/>
            </w:pPr>
            <w:r/>
            <w:r>
              <w:rPr>
                <w:b/>
                <w:color w:val="454F5A"/>
                <w:sz w:val="18"/>
              </w:rPr>
              <w:t>Measure</w:t>
            </w:r>
          </w:p>
        </w:tc>
        <w:tc>
          <w:tcPr>
            <w:tcW w:type="dxa" w:w="2016"/>
            <w:shd w:fill="EDF1F5"/>
          </w:tcPr>
          <w:p>
            <w:pPr>
              <w:spacing w:after="40"/>
              <w:jc w:val="right"/>
            </w:pPr>
            <w:r/>
            <w:r>
              <w:rPr>
                <w:b/>
                <w:color w:val="454F5A"/>
                <w:sz w:val="18"/>
              </w:rPr>
              <w:t>Figure</w:t>
            </w:r>
          </w:p>
        </w:tc>
        <w:tc>
          <w:tcPr>
            <w:tcW w:type="dxa" w:w="4176"/>
            <w:shd w:fill="EDF1F5"/>
          </w:tcPr>
          <w:p>
            <w:pPr>
              <w:spacing w:after="40"/>
            </w:pPr>
            <w:r/>
            <w:r>
              <w:rPr>
                <w:b/>
                <w:color w:val="454F5A"/>
                <w:sz w:val="18"/>
              </w:rPr>
              <w:t>What it decided</w:t>
            </w:r>
          </w:p>
        </w:tc>
      </w:tr>
      <w:tr>
        <w:tc>
          <w:tcPr>
            <w:tcW w:type="dxa" w:w="3456"/>
          </w:tcPr>
          <w:p>
            <w:pPr>
              <w:spacing w:after="40"/>
            </w:pPr>
            <w:r/>
            <w:r>
              <w:rPr>
                <w:b w:val="0"/>
                <w:color w:val="1D2733"/>
                <w:sz w:val="19"/>
              </w:rPr>
              <w:t>role populated</w:t>
            </w:r>
          </w:p>
        </w:tc>
        <w:tc>
          <w:tcPr>
            <w:tcW w:type="dxa" w:w="2016"/>
          </w:tcPr>
          <w:p>
            <w:pPr>
              <w:spacing w:after="40"/>
              <w:jc w:val="right"/>
            </w:pPr>
            <w:r/>
            <w:r>
              <w:rPr>
                <w:rFonts w:ascii="Consolas" w:hAnsi="Consolas"/>
                <w:b w:val="0"/>
                <w:color w:val="1D2733"/>
                <w:sz w:val="19"/>
              </w:rPr>
              <w:t>81.9%</w:t>
            </w:r>
          </w:p>
        </w:tc>
        <w:tc>
          <w:tcPr>
            <w:tcW w:type="dxa" w:w="4176"/>
          </w:tcPr>
          <w:p>
            <w:pPr>
              <w:spacing w:after="40"/>
            </w:pPr>
            <w:r/>
            <w:r>
              <w:rPr>
                <w:b w:val="0"/>
                <w:color w:val="1D2733"/>
                <w:sz w:val="19"/>
              </w:rPr>
              <w:t>The primary signal is reliable</w:t>
            </w:r>
          </w:p>
        </w:tc>
      </w:tr>
      <w:tr>
        <w:tc>
          <w:tcPr>
            <w:tcW w:type="dxa" w:w="3456"/>
          </w:tcPr>
          <w:p>
            <w:pPr>
              <w:spacing w:after="40"/>
            </w:pPr>
            <w:r/>
            <w:r>
              <w:rPr>
                <w:b w:val="0"/>
                <w:color w:val="1D2733"/>
                <w:sz w:val="19"/>
              </w:rPr>
              <w:t>organisation_name populated</w:t>
            </w:r>
          </w:p>
        </w:tc>
        <w:tc>
          <w:tcPr>
            <w:tcW w:type="dxa" w:w="2016"/>
          </w:tcPr>
          <w:p>
            <w:pPr>
              <w:spacing w:after="40"/>
              <w:jc w:val="right"/>
            </w:pPr>
            <w:r/>
            <w:r>
              <w:rPr>
                <w:rFonts w:ascii="Consolas" w:hAnsi="Consolas"/>
                <w:b w:val="0"/>
                <w:color w:val="1D2733"/>
                <w:sz w:val="19"/>
              </w:rPr>
              <w:t>100%</w:t>
            </w:r>
          </w:p>
        </w:tc>
        <w:tc>
          <w:tcPr>
            <w:tcW w:type="dxa" w:w="4176"/>
          </w:tcPr>
          <w:p>
            <w:pPr>
              <w:spacing w:after="40"/>
            </w:pPr>
            <w:r/>
            <w:r>
              <w:rPr>
                <w:b w:val="0"/>
                <w:color w:val="1D2733"/>
                <w:sz w:val="19"/>
              </w:rPr>
              <w:t>Name matching is always available as a fallback</w:t>
            </w:r>
          </w:p>
        </w:tc>
      </w:tr>
      <w:tr>
        <w:tc>
          <w:tcPr>
            <w:tcW w:type="dxa" w:w="3456"/>
          </w:tcPr>
          <w:p>
            <w:pPr>
              <w:spacing w:after="40"/>
            </w:pPr>
            <w:r/>
            <w:r>
              <w:rPr>
                <w:b w:val="0"/>
                <w:color w:val="1D2733"/>
                <w:sz w:val="19"/>
              </w:rPr>
              <w:t>department_name populated</w:t>
            </w:r>
          </w:p>
        </w:tc>
        <w:tc>
          <w:tcPr>
            <w:tcW w:type="dxa" w:w="2016"/>
          </w:tcPr>
          <w:p>
            <w:pPr>
              <w:spacing w:after="40"/>
              <w:jc w:val="right"/>
            </w:pPr>
            <w:r/>
            <w:r>
              <w:rPr>
                <w:rFonts w:ascii="Consolas" w:hAnsi="Consolas"/>
                <w:b w:val="0"/>
                <w:color w:val="1D2733"/>
                <w:sz w:val="19"/>
              </w:rPr>
              <w:t>78.5%</w:t>
            </w:r>
          </w:p>
        </w:tc>
        <w:tc>
          <w:tcPr>
            <w:tcW w:type="dxa" w:w="4176"/>
          </w:tcPr>
          <w:p>
            <w:pPr>
              <w:spacing w:after="40"/>
            </w:pPr>
            <w:r/>
            <w:r>
              <w:rPr>
                <w:b w:val="0"/>
                <w:color w:val="1D2733"/>
                <w:sz w:val="19"/>
              </w:rPr>
              <w:t>Justified moving the discipline signal here</w:t>
            </w:r>
          </w:p>
        </w:tc>
      </w:tr>
      <w:tr>
        <w:tc>
          <w:tcPr>
            <w:tcW w:type="dxa" w:w="3456"/>
          </w:tcPr>
          <w:p>
            <w:pPr>
              <w:spacing w:after="40"/>
            </w:pPr>
            <w:r/>
            <w:r>
              <w:rPr>
                <w:b w:val="0"/>
                <w:color w:val="1D2733"/>
                <w:sz w:val="19"/>
              </w:rPr>
              <w:t>All three core fields</w:t>
            </w:r>
          </w:p>
        </w:tc>
        <w:tc>
          <w:tcPr>
            <w:tcW w:type="dxa" w:w="2016"/>
          </w:tcPr>
          <w:p>
            <w:pPr>
              <w:spacing w:after="40"/>
              <w:jc w:val="right"/>
            </w:pPr>
            <w:r/>
            <w:r>
              <w:rPr>
                <w:rFonts w:ascii="Consolas" w:hAnsi="Consolas"/>
                <w:b w:val="0"/>
                <w:color w:val="1D2733"/>
                <w:sz w:val="19"/>
              </w:rPr>
              <w:t>72.3%</w:t>
            </w:r>
          </w:p>
        </w:tc>
        <w:tc>
          <w:tcPr>
            <w:tcW w:type="dxa" w:w="4176"/>
          </w:tcPr>
          <w:p>
            <w:pPr>
              <w:spacing w:after="40"/>
            </w:pPr>
            <w:r/>
            <w:r>
              <w:rPr>
                <w:b w:val="0"/>
                <w:color w:val="1D2733"/>
                <w:sz w:val="19"/>
              </w:rPr>
              <w:t>Share of fully scoreable records</w:t>
            </w:r>
          </w:p>
        </w:tc>
      </w:tr>
      <w:tr>
        <w:tc>
          <w:tcPr>
            <w:tcW w:type="dxa" w:w="3456"/>
          </w:tcPr>
          <w:p>
            <w:pPr>
              <w:spacing w:after="40"/>
            </w:pPr>
            <w:r/>
            <w:r>
              <w:rPr>
                <w:b w:val="0"/>
                <w:color w:val="1D2733"/>
                <w:sz w:val="19"/>
              </w:rPr>
              <w:t>Visibility public</w:t>
            </w:r>
          </w:p>
        </w:tc>
        <w:tc>
          <w:tcPr>
            <w:tcW w:type="dxa" w:w="2016"/>
          </w:tcPr>
          <w:p>
            <w:pPr>
              <w:spacing w:after="40"/>
              <w:jc w:val="right"/>
            </w:pPr>
            <w:r/>
            <w:r>
              <w:rPr>
                <w:rFonts w:ascii="Consolas" w:hAnsi="Consolas"/>
                <w:b w:val="0"/>
                <w:color w:val="1D2733"/>
                <w:sz w:val="19"/>
              </w:rPr>
              <w:t>95.8%</w:t>
            </w:r>
          </w:p>
        </w:tc>
        <w:tc>
          <w:tcPr>
            <w:tcW w:type="dxa" w:w="4176"/>
          </w:tcPr>
          <w:p>
            <w:pPr>
              <w:spacing w:after="40"/>
            </w:pPr>
            <w:r/>
            <w:r>
              <w:rPr>
                <w:b w:val="0"/>
                <w:color w:val="1D2733"/>
                <w:sz w:val="19"/>
              </w:rPr>
              <w:t>The privacy filter costs only 4%</w:t>
            </w:r>
          </w:p>
        </w:tc>
      </w:tr>
      <w:tr>
        <w:tc>
          <w:tcPr>
            <w:tcW w:type="dxa" w:w="3456"/>
          </w:tcPr>
          <w:p>
            <w:pPr>
              <w:spacing w:after="40"/>
            </w:pPr>
            <w:r/>
            <w:r>
              <w:rPr>
                <w:b w:val="0"/>
                <w:color w:val="1D2733"/>
                <w:sz w:val="19"/>
              </w:rPr>
              <w:t>Organisation identity — ROR</w:t>
            </w:r>
          </w:p>
        </w:tc>
        <w:tc>
          <w:tcPr>
            <w:tcW w:type="dxa" w:w="2016"/>
          </w:tcPr>
          <w:p>
            <w:pPr>
              <w:spacing w:after="40"/>
              <w:jc w:val="right"/>
            </w:pPr>
            <w:r/>
            <w:r>
              <w:rPr>
                <w:rFonts w:ascii="Consolas" w:hAnsi="Consolas"/>
                <w:b w:val="0"/>
                <w:color w:val="1D2733"/>
                <w:sz w:val="19"/>
              </w:rPr>
              <w:t>35.3%</w:t>
            </w:r>
          </w:p>
        </w:tc>
        <w:tc>
          <w:tcPr>
            <w:tcW w:type="dxa" w:w="4176"/>
          </w:tcPr>
          <w:p>
            <w:pPr>
              <w:spacing w:after="40"/>
            </w:pPr>
            <w:r/>
            <w:r>
              <w:rPr>
                <w:b w:val="0"/>
                <w:color w:val="1D2733"/>
                <w:sz w:val="19"/>
              </w:rPr>
              <w:t>Not sufficient alone</w:t>
            </w:r>
          </w:p>
        </w:tc>
      </w:tr>
      <w:tr>
        <w:tc>
          <w:tcPr>
            <w:tcW w:type="dxa" w:w="3456"/>
          </w:tcPr>
          <w:p>
            <w:pPr>
              <w:spacing w:after="40"/>
            </w:pPr>
            <w:r/>
            <w:r>
              <w:rPr>
                <w:b w:val="0"/>
                <w:color w:val="1D2733"/>
                <w:sz w:val="19"/>
              </w:rPr>
              <w:t>Organisation identity — all routes</w:t>
            </w:r>
          </w:p>
        </w:tc>
        <w:tc>
          <w:tcPr>
            <w:tcW w:type="dxa" w:w="2016"/>
          </w:tcPr>
          <w:p>
            <w:pPr>
              <w:spacing w:after="40"/>
              <w:jc w:val="right"/>
            </w:pPr>
            <w:r/>
            <w:r>
              <w:rPr>
                <w:rFonts w:ascii="Consolas" w:hAnsi="Consolas"/>
                <w:b w:val="0"/>
                <w:color w:val="1D2733"/>
                <w:sz w:val="19"/>
              </w:rPr>
              <w:t>78.8%</w:t>
            </w:r>
          </w:p>
        </w:tc>
        <w:tc>
          <w:tcPr>
            <w:tcW w:type="dxa" w:w="4176"/>
          </w:tcPr>
          <w:p>
            <w:pPr>
              <w:spacing w:after="40"/>
            </w:pPr>
            <w:r/>
            <w:r>
              <w:rPr>
                <w:b w:val="0"/>
                <w:color w:val="1D2733"/>
                <w:sz w:val="19"/>
              </w:rPr>
              <w:t>After bridging RINGGOLD, GRID and FUNDREF</w:t>
            </w:r>
          </w:p>
        </w:tc>
      </w:tr>
      <w:tr>
        <w:tc>
          <w:tcPr>
            <w:tcW w:type="dxa" w:w="3456"/>
          </w:tcPr>
          <w:p>
            <w:pPr>
              <w:spacing w:after="40"/>
            </w:pPr>
            <w:r/>
            <w:r>
              <w:rPr>
                <w:b w:val="0"/>
                <w:color w:val="1D2733"/>
                <w:sz w:val="19"/>
              </w:rPr>
              <w:t>Non-Latin script titles</w:t>
            </w:r>
          </w:p>
        </w:tc>
        <w:tc>
          <w:tcPr>
            <w:tcW w:type="dxa" w:w="2016"/>
          </w:tcPr>
          <w:p>
            <w:pPr>
              <w:spacing w:after="40"/>
              <w:jc w:val="right"/>
            </w:pPr>
            <w:r/>
            <w:r>
              <w:rPr>
                <w:rFonts w:ascii="Consolas" w:hAnsi="Consolas"/>
                <w:b w:val="0"/>
                <w:color w:val="1D2733"/>
                <w:sz w:val="19"/>
              </w:rPr>
              <w:t>0.5%</w:t>
            </w:r>
          </w:p>
        </w:tc>
        <w:tc>
          <w:tcPr>
            <w:tcW w:type="dxa" w:w="4176"/>
          </w:tcPr>
          <w:p>
            <w:pPr>
              <w:spacing w:after="40"/>
            </w:pPr>
            <w:r/>
            <w:r>
              <w:rPr>
                <w:b w:val="0"/>
                <w:color w:val="1D2733"/>
                <w:sz w:val="19"/>
              </w:rPr>
              <w:t>CJK, Cyrillic and Arabic are a small minority</w:t>
            </w:r>
          </w:p>
        </w:tc>
      </w:tr>
    </w:tbl>
    <w:p>
      <w:pPr>
        <w:spacing w:after="80"/>
      </w:pPr>
    </w:p>
    <w:p>
      <w:pPr>
        <w:pStyle w:val="Heading3"/>
      </w:pPr>
      <w:r>
        <w:t>Model calibration</w:t>
      </w:r>
    </w:p>
    <w:tbl>
      <w:tblPr>
        <w:tblStyle w:val="TableGrid"/>
        <w:tblW w:type="auto" w:w="0"/>
        <w:jc w:val="left"/>
        <w:tblLook w:firstColumn="1" w:firstRow="1" w:lastColumn="0" w:lastRow="0" w:noHBand="0" w:noVBand="1" w:val="04A0"/>
      </w:tblPr>
      <w:tblGrid>
        <w:gridCol w:w="3168"/>
        <w:gridCol w:w="3168"/>
        <w:gridCol w:w="3168"/>
      </w:tblGrid>
      <w:tr>
        <w:tc>
          <w:tcPr>
            <w:tcW w:type="dxa" w:w="3456"/>
            <w:shd w:fill="EDF1F5"/>
          </w:tcPr>
          <w:p>
            <w:pPr>
              <w:spacing w:after="40"/>
            </w:pPr>
            <w:r/>
            <w:r>
              <w:rPr>
                <w:b/>
                <w:color w:val="454F5A"/>
                <w:sz w:val="18"/>
              </w:rPr>
              <w:t>Measure</w:t>
            </w:r>
          </w:p>
        </w:tc>
        <w:tc>
          <w:tcPr>
            <w:tcW w:type="dxa" w:w="2016"/>
            <w:shd w:fill="EDF1F5"/>
          </w:tcPr>
          <w:p>
            <w:pPr>
              <w:spacing w:after="40"/>
              <w:jc w:val="right"/>
            </w:pPr>
            <w:r/>
            <w:r>
              <w:rPr>
                <w:b/>
                <w:color w:val="454F5A"/>
                <w:sz w:val="18"/>
              </w:rPr>
              <w:t>Figure</w:t>
            </w:r>
          </w:p>
        </w:tc>
        <w:tc>
          <w:tcPr>
            <w:tcW w:type="dxa" w:w="4176"/>
            <w:shd w:fill="EDF1F5"/>
          </w:tcPr>
          <w:p>
            <w:pPr>
              <w:spacing w:after="40"/>
            </w:pPr>
            <w:r/>
            <w:r>
              <w:rPr>
                <w:b/>
                <w:color w:val="454F5A"/>
                <w:sz w:val="18"/>
              </w:rPr>
              <w:t>What it decided</w:t>
            </w:r>
          </w:p>
        </w:tc>
      </w:tr>
      <w:tr>
        <w:tc>
          <w:tcPr>
            <w:tcW w:type="dxa" w:w="3456"/>
          </w:tcPr>
          <w:p>
            <w:pPr>
              <w:spacing w:after="40"/>
            </w:pPr>
            <w:r/>
            <w:r>
              <w:rPr>
                <w:b w:val="0"/>
                <w:color w:val="1D2733"/>
                <w:sz w:val="19"/>
              </w:rPr>
              <w:t>kardiyolog vs cardiologist</w:t>
            </w:r>
          </w:p>
        </w:tc>
        <w:tc>
          <w:tcPr>
            <w:tcW w:type="dxa" w:w="2016"/>
          </w:tcPr>
          <w:p>
            <w:pPr>
              <w:spacing w:after="40"/>
              <w:jc w:val="right"/>
            </w:pPr>
            <w:r/>
            <w:r>
              <w:rPr>
                <w:rFonts w:ascii="Consolas" w:hAnsi="Consolas"/>
                <w:b w:val="0"/>
                <w:color w:val="1D2733"/>
                <w:sz w:val="19"/>
              </w:rPr>
              <w:t>0.760</w:t>
            </w:r>
          </w:p>
        </w:tc>
        <w:tc>
          <w:tcPr>
            <w:tcW w:type="dxa" w:w="4176"/>
          </w:tcPr>
          <w:p>
            <w:pPr>
              <w:spacing w:after="40"/>
            </w:pPr>
            <w:r/>
            <w:r>
              <w:rPr>
                <w:b w:val="0"/>
                <w:color w:val="1D2733"/>
                <w:sz w:val="19"/>
              </w:rPr>
              <w:t>The model is multilingual</w:t>
            </w:r>
          </w:p>
        </w:tc>
      </w:tr>
      <w:tr>
        <w:tc>
          <w:tcPr>
            <w:tcW w:type="dxa" w:w="3456"/>
          </w:tcPr>
          <w:p>
            <w:pPr>
              <w:spacing w:after="40"/>
            </w:pPr>
            <w:r/>
            <w:r>
              <w:rPr>
                <w:b w:val="0"/>
                <w:color w:val="1D2733"/>
                <w:sz w:val="19"/>
              </w:rPr>
              <w:t>Unrelated control term</w:t>
            </w:r>
          </w:p>
        </w:tc>
        <w:tc>
          <w:tcPr>
            <w:tcW w:type="dxa" w:w="2016"/>
          </w:tcPr>
          <w:p>
            <w:pPr>
              <w:spacing w:after="40"/>
              <w:jc w:val="right"/>
            </w:pPr>
            <w:r/>
            <w:r>
              <w:rPr>
                <w:rFonts w:ascii="Consolas" w:hAnsi="Consolas"/>
                <w:b w:val="0"/>
                <w:color w:val="1D2733"/>
                <w:sz w:val="19"/>
              </w:rPr>
              <w:t>0.572</w:t>
            </w:r>
          </w:p>
        </w:tc>
        <w:tc>
          <w:tcPr>
            <w:tcW w:type="dxa" w:w="4176"/>
          </w:tcPr>
          <w:p>
            <w:pPr>
              <w:spacing w:after="40"/>
            </w:pPr>
            <w:r/>
            <w:r>
              <w:rPr>
                <w:b w:val="0"/>
                <w:color w:val="1D2733"/>
                <w:sz w:val="19"/>
              </w:rPr>
              <w:t>High baseline — absolute thresholds unusable</w:t>
            </w:r>
          </w:p>
        </w:tc>
      </w:tr>
      <w:tr>
        <w:tc>
          <w:tcPr>
            <w:tcW w:type="dxa" w:w="3456"/>
          </w:tcPr>
          <w:p>
            <w:pPr>
              <w:spacing w:after="40"/>
            </w:pPr>
            <w:r/>
            <w:r>
              <w:rPr>
                <w:b w:val="0"/>
                <w:color w:val="1D2733"/>
                <w:sz w:val="19"/>
              </w:rPr>
              <w:t>True match range</w:t>
            </w:r>
          </w:p>
        </w:tc>
        <w:tc>
          <w:tcPr>
            <w:tcW w:type="dxa" w:w="2016"/>
          </w:tcPr>
          <w:p>
            <w:pPr>
              <w:spacing w:after="40"/>
              <w:jc w:val="right"/>
            </w:pPr>
            <w:r/>
            <w:r>
              <w:rPr>
                <w:rFonts w:ascii="Consolas" w:hAnsi="Consolas"/>
                <w:b w:val="0"/>
                <w:color w:val="1D2733"/>
                <w:sz w:val="19"/>
              </w:rPr>
              <w:t>0.682 – 1.000</w:t>
            </w:r>
          </w:p>
        </w:tc>
        <w:tc>
          <w:tcPr>
            <w:tcW w:type="dxa" w:w="4176"/>
          </w:tcPr>
          <w:p>
            <w:pPr>
              <w:spacing w:after="40"/>
            </w:pPr>
            <w:r/>
            <w:r>
              <w:rPr>
                <w:b w:val="0"/>
                <w:color w:val="1D2733"/>
                <w:sz w:val="19"/>
              </w:rPr>
              <w:t>Tested on 37 labelled examples</w:t>
            </w:r>
          </w:p>
        </w:tc>
      </w:tr>
      <w:tr>
        <w:tc>
          <w:tcPr>
            <w:tcW w:type="dxa" w:w="3456"/>
          </w:tcPr>
          <w:p>
            <w:pPr>
              <w:spacing w:after="40"/>
            </w:pPr>
            <w:r/>
            <w:r>
              <w:rPr>
                <w:b w:val="0"/>
                <w:color w:val="1D2733"/>
                <w:sz w:val="19"/>
              </w:rPr>
              <w:t>False match range</w:t>
            </w:r>
          </w:p>
        </w:tc>
        <w:tc>
          <w:tcPr>
            <w:tcW w:type="dxa" w:w="2016"/>
          </w:tcPr>
          <w:p>
            <w:pPr>
              <w:spacing w:after="40"/>
              <w:jc w:val="right"/>
            </w:pPr>
            <w:r/>
            <w:r>
              <w:rPr>
                <w:rFonts w:ascii="Consolas" w:hAnsi="Consolas"/>
                <w:b w:val="0"/>
                <w:color w:val="1D2733"/>
                <w:sz w:val="19"/>
              </w:rPr>
              <w:t>0.519 – 0.953</w:t>
            </w:r>
          </w:p>
        </w:tc>
        <w:tc>
          <w:tcPr>
            <w:tcW w:type="dxa" w:w="4176"/>
          </w:tcPr>
          <w:p>
            <w:pPr>
              <w:spacing w:after="40"/>
            </w:pPr>
            <w:r/>
            <w:r>
              <w:rPr>
                <w:b w:val="0"/>
                <w:color w:val="1D2733"/>
                <w:sz w:val="19"/>
              </w:rPr>
              <w:t>Overlaps — a different measure was needed</w:t>
            </w:r>
          </w:p>
        </w:tc>
      </w:tr>
      <w:tr>
        <w:tc>
          <w:tcPr>
            <w:tcW w:type="dxa" w:w="3456"/>
          </w:tcPr>
          <w:p>
            <w:pPr>
              <w:spacing w:after="40"/>
            </w:pPr>
            <w:r/>
            <w:r>
              <w:rPr>
                <w:b w:val="0"/>
                <w:color w:val="1D2733"/>
                <w:sz w:val="19"/>
              </w:rPr>
              <w:t>Margin threshold</w:t>
            </w:r>
          </w:p>
        </w:tc>
        <w:tc>
          <w:tcPr>
            <w:tcW w:type="dxa" w:w="2016"/>
          </w:tcPr>
          <w:p>
            <w:pPr>
              <w:spacing w:after="40"/>
              <w:jc w:val="right"/>
            </w:pPr>
            <w:r/>
            <w:r>
              <w:rPr>
                <w:rFonts w:ascii="Consolas" w:hAnsi="Consolas"/>
                <w:b w:val="0"/>
                <w:color w:val="1D2733"/>
                <w:sz w:val="19"/>
              </w:rPr>
              <w:t>+0.13</w:t>
            </w:r>
          </w:p>
        </w:tc>
        <w:tc>
          <w:tcPr>
            <w:tcW w:type="dxa" w:w="4176"/>
          </w:tcPr>
          <w:p>
            <w:pPr>
              <w:spacing w:after="40"/>
            </w:pPr>
            <w:r/>
            <w:r>
              <w:rPr>
                <w:b w:val="0"/>
                <w:color w:val="1D2733"/>
                <w:sz w:val="19"/>
              </w:rPr>
              <w:t>The measure that actually separates</w:t>
            </w:r>
          </w:p>
        </w:tc>
      </w:tr>
      <w:tr>
        <w:tc>
          <w:tcPr>
            <w:tcW w:type="dxa" w:w="3456"/>
          </w:tcPr>
          <w:p>
            <w:pPr>
              <w:spacing w:after="40"/>
            </w:pPr>
            <w:r/>
            <w:r>
              <w:rPr>
                <w:b w:val="0"/>
                <w:color w:val="1D2733"/>
                <w:sz w:val="19"/>
              </w:rPr>
              <w:t>Caught by exclusion terms</w:t>
            </w:r>
          </w:p>
        </w:tc>
        <w:tc>
          <w:tcPr>
            <w:tcW w:type="dxa" w:w="2016"/>
          </w:tcPr>
          <w:p>
            <w:pPr>
              <w:spacing w:after="40"/>
              <w:jc w:val="right"/>
            </w:pPr>
            <w:r/>
            <w:r>
              <w:rPr>
                <w:rFonts w:ascii="Consolas" w:hAnsi="Consolas"/>
                <w:b w:val="0"/>
                <w:color w:val="1D2733"/>
                <w:sz w:val="19"/>
              </w:rPr>
              <w:t>9 of 15</w:t>
            </w:r>
          </w:p>
        </w:tc>
        <w:tc>
          <w:tcPr>
            <w:tcW w:type="dxa" w:w="4176"/>
          </w:tcPr>
          <w:p>
            <w:pPr>
              <w:spacing w:after="40"/>
            </w:pPr>
            <w:r/>
            <w:r>
              <w:rPr>
                <w:b w:val="0"/>
                <w:color w:val="1D2733"/>
                <w:sz w:val="19"/>
              </w:rPr>
              <w:t>The exclusion mechanism is highly effective</w:t>
            </w:r>
          </w:p>
        </w:tc>
      </w:tr>
      <w:tr>
        <w:tc>
          <w:tcPr>
            <w:tcW w:type="dxa" w:w="3456"/>
          </w:tcPr>
          <w:p>
            <w:pPr>
              <w:spacing w:after="40"/>
            </w:pPr>
            <w:r/>
            <w:r>
              <w:rPr>
                <w:b w:val="0"/>
                <w:color w:val="1D2733"/>
                <w:sz w:val="19"/>
              </w:rPr>
              <w:t>Labelled test set accuracy</w:t>
            </w:r>
          </w:p>
        </w:tc>
        <w:tc>
          <w:tcPr>
            <w:tcW w:type="dxa" w:w="2016"/>
          </w:tcPr>
          <w:p>
            <w:pPr>
              <w:spacing w:after="40"/>
              <w:jc w:val="right"/>
            </w:pPr>
            <w:r/>
            <w:r>
              <w:rPr>
                <w:rFonts w:ascii="Consolas" w:hAnsi="Consolas"/>
                <w:b w:val="0"/>
                <w:color w:val="1D2733"/>
                <w:sz w:val="19"/>
              </w:rPr>
              <w:t>100%</w:t>
            </w:r>
          </w:p>
        </w:tc>
        <w:tc>
          <w:tcPr>
            <w:tcW w:type="dxa" w:w="4176"/>
          </w:tcPr>
          <w:p>
            <w:pPr>
              <w:spacing w:after="40"/>
            </w:pPr>
            <w:r/>
            <w:r>
              <w:rPr>
                <w:b w:val="0"/>
                <w:color w:val="1D2733"/>
                <w:sz w:val="19"/>
              </w:rPr>
              <w:t>64 of 64, including every known trap</w:t>
            </w:r>
          </w:p>
        </w:tc>
      </w:tr>
    </w:tbl>
    <w:p>
      <w:pPr>
        <w:spacing w:after="80"/>
      </w:pPr>
    </w:p>
    <w:p>
      <w:pPr>
        <w:pStyle w:val="Heading3"/>
      </w:pPr>
      <w:r>
        <w:t>Taxonomy outcome</w:t>
      </w:r>
    </w:p>
    <w:tbl>
      <w:tblPr>
        <w:tblStyle w:val="TableGrid"/>
        <w:tblW w:type="auto" w:w="0"/>
        <w:jc w:val="left"/>
        <w:tblLook w:firstColumn="1" w:firstRow="1" w:lastColumn="0" w:lastRow="0" w:noHBand="0" w:noVBand="1" w:val="04A0"/>
      </w:tblPr>
      <w:tblGrid>
        <w:gridCol w:w="2376"/>
        <w:gridCol w:w="2376"/>
        <w:gridCol w:w="2376"/>
        <w:gridCol w:w="2376"/>
      </w:tblGrid>
      <w:tr>
        <w:tc>
          <w:tcPr>
            <w:tcW w:type="dxa" w:w="4032"/>
            <w:shd w:fill="EDF1F5"/>
          </w:tcPr>
          <w:p>
            <w:pPr>
              <w:spacing w:after="40"/>
            </w:pPr>
            <w:r/>
            <w:r>
              <w:rPr>
                <w:b/>
                <w:color w:val="454F5A"/>
                <w:sz w:val="18"/>
              </w:rPr>
              <w:t>Axis</w:t>
            </w:r>
          </w:p>
        </w:tc>
        <w:tc>
          <w:tcPr>
            <w:tcW w:type="dxa" w:w="1152"/>
            <w:shd w:fill="EDF1F5"/>
          </w:tcPr>
          <w:p>
            <w:pPr>
              <w:spacing w:after="40"/>
              <w:jc w:val="right"/>
            </w:pPr>
            <w:r/>
            <w:r>
              <w:rPr>
                <w:b/>
                <w:color w:val="454F5A"/>
                <w:sz w:val="18"/>
              </w:rPr>
              <w:t>Groups</w:t>
            </w:r>
          </w:p>
        </w:tc>
        <w:tc>
          <w:tcPr>
            <w:tcW w:type="dxa" w:w="2304"/>
            <w:shd w:fill="EDF1F5"/>
          </w:tcPr>
          <w:p>
            <w:pPr>
              <w:spacing w:after="40"/>
              <w:jc w:val="right"/>
            </w:pPr>
            <w:r/>
            <w:r>
              <w:rPr>
                <w:b/>
                <w:color w:val="454F5A"/>
                <w:sz w:val="18"/>
              </w:rPr>
              <w:t>Margin range</w:t>
            </w:r>
          </w:p>
        </w:tc>
        <w:tc>
          <w:tcPr>
            <w:tcW w:type="dxa" w:w="1872"/>
            <w:shd w:fill="EDF1F5"/>
          </w:tcPr>
          <w:p>
            <w:pPr>
              <w:spacing w:after="40"/>
              <w:jc w:val="right"/>
            </w:pPr>
            <w:r/>
            <w:r>
              <w:rPr>
                <w:b/>
                <w:color w:val="454F5A"/>
                <w:sz w:val="18"/>
              </w:rPr>
              <w:t>Unassignable</w:t>
            </w:r>
          </w:p>
        </w:tc>
      </w:tr>
      <w:tr>
        <w:tc>
          <w:tcPr>
            <w:tcW w:type="dxa" w:w="4032"/>
          </w:tcPr>
          <w:p>
            <w:pPr>
              <w:spacing w:after="40"/>
            </w:pPr>
            <w:r/>
            <w:r>
              <w:rPr>
                <w:b w:val="0"/>
                <w:color w:val="1D2733"/>
                <w:sz w:val="19"/>
              </w:rPr>
              <w:t>Discipline — from department</w:t>
            </w:r>
          </w:p>
        </w:tc>
        <w:tc>
          <w:tcPr>
            <w:tcW w:type="dxa" w:w="1152"/>
          </w:tcPr>
          <w:p>
            <w:pPr>
              <w:spacing w:after="40"/>
              <w:jc w:val="right"/>
            </w:pPr>
            <w:r/>
            <w:r>
              <w:rPr>
                <w:rFonts w:ascii="Consolas" w:hAnsi="Consolas"/>
                <w:b w:val="0"/>
                <w:color w:val="1D2733"/>
                <w:sz w:val="19"/>
              </w:rPr>
              <w:t>12</w:t>
            </w:r>
          </w:p>
        </w:tc>
        <w:tc>
          <w:tcPr>
            <w:tcW w:type="dxa" w:w="2304"/>
          </w:tcPr>
          <w:p>
            <w:pPr>
              <w:spacing w:after="40"/>
              <w:jc w:val="right"/>
            </w:pPr>
            <w:r/>
            <w:r>
              <w:rPr>
                <w:rFonts w:ascii="Consolas" w:hAnsi="Consolas"/>
                <w:b w:val="0"/>
                <w:color w:val="1D2733"/>
                <w:sz w:val="19"/>
              </w:rPr>
              <w:t>0.079 – 0.186</w:t>
            </w:r>
          </w:p>
        </w:tc>
        <w:tc>
          <w:tcPr>
            <w:tcW w:type="dxa" w:w="1872"/>
          </w:tcPr>
          <w:p>
            <w:pPr>
              <w:spacing w:after="40"/>
              <w:jc w:val="right"/>
            </w:pPr>
            <w:r/>
            <w:r>
              <w:rPr>
                <w:rFonts w:ascii="Consolas" w:hAnsi="Consolas"/>
                <w:b w:val="0"/>
                <w:color w:val="1D2733"/>
                <w:sz w:val="19"/>
              </w:rPr>
              <w:t>1.6%</w:t>
            </w:r>
          </w:p>
        </w:tc>
      </w:tr>
      <w:tr>
        <w:tc>
          <w:tcPr>
            <w:tcW w:type="dxa" w:w="4032"/>
          </w:tcPr>
          <w:p>
            <w:pPr>
              <w:spacing w:after="40"/>
            </w:pPr>
            <w:r/>
            <w:r>
              <w:rPr>
                <w:b w:val="0"/>
                <w:color w:val="1D2733"/>
                <w:sz w:val="19"/>
              </w:rPr>
              <w:t>Position — from job title</w:t>
            </w:r>
          </w:p>
        </w:tc>
        <w:tc>
          <w:tcPr>
            <w:tcW w:type="dxa" w:w="1152"/>
          </w:tcPr>
          <w:p>
            <w:pPr>
              <w:spacing w:after="40"/>
              <w:jc w:val="right"/>
            </w:pPr>
            <w:r/>
            <w:r>
              <w:rPr>
                <w:rFonts w:ascii="Consolas" w:hAnsi="Consolas"/>
                <w:b w:val="0"/>
                <w:color w:val="1D2733"/>
                <w:sz w:val="19"/>
              </w:rPr>
              <w:t>8</w:t>
            </w:r>
          </w:p>
        </w:tc>
        <w:tc>
          <w:tcPr>
            <w:tcW w:type="dxa" w:w="2304"/>
          </w:tcPr>
          <w:p>
            <w:pPr>
              <w:spacing w:after="40"/>
              <w:jc w:val="right"/>
            </w:pPr>
            <w:r/>
            <w:r>
              <w:rPr>
                <w:rFonts w:ascii="Consolas" w:hAnsi="Consolas"/>
                <w:b w:val="0"/>
                <w:color w:val="1D2733"/>
                <w:sz w:val="19"/>
              </w:rPr>
              <w:t>0.085 – 0.157</w:t>
            </w:r>
          </w:p>
        </w:tc>
        <w:tc>
          <w:tcPr>
            <w:tcW w:type="dxa" w:w="1872"/>
          </w:tcPr>
          <w:p>
            <w:pPr>
              <w:spacing w:after="40"/>
              <w:jc w:val="right"/>
            </w:pPr>
            <w:r/>
            <w:r>
              <w:rPr>
                <w:rFonts w:ascii="Consolas" w:hAnsi="Consolas"/>
                <w:b w:val="0"/>
                <w:color w:val="1D2733"/>
                <w:sz w:val="19"/>
              </w:rPr>
              <w:t>—</w:t>
            </w:r>
          </w:p>
        </w:tc>
      </w:tr>
      <w:tr>
        <w:tc>
          <w:tcPr>
            <w:tcW w:type="dxa" w:w="4032"/>
          </w:tcPr>
          <w:p>
            <w:pPr>
              <w:spacing w:after="40"/>
            </w:pPr>
            <w:r/>
            <w:r>
              <w:rPr>
                <w:b/>
                <w:color w:val="C13A39"/>
                <w:sz w:val="19"/>
              </w:rPr>
              <w:t>Discipline — from job title (rejected)</w:t>
            </w:r>
          </w:p>
        </w:tc>
        <w:tc>
          <w:tcPr>
            <w:tcW w:type="dxa" w:w="1152"/>
          </w:tcPr>
          <w:p>
            <w:pPr>
              <w:spacing w:after="40"/>
              <w:jc w:val="right"/>
            </w:pPr>
            <w:r/>
            <w:r>
              <w:rPr>
                <w:rFonts w:ascii="Consolas" w:hAnsi="Consolas"/>
                <w:b/>
                <w:color w:val="C13A39"/>
                <w:sz w:val="19"/>
              </w:rPr>
              <w:t>18</w:t>
            </w:r>
          </w:p>
        </w:tc>
        <w:tc>
          <w:tcPr>
            <w:tcW w:type="dxa" w:w="2304"/>
          </w:tcPr>
          <w:p>
            <w:pPr>
              <w:spacing w:after="40"/>
              <w:jc w:val="right"/>
            </w:pPr>
            <w:r/>
            <w:r>
              <w:rPr>
                <w:rFonts w:ascii="Consolas" w:hAnsi="Consolas"/>
                <w:b/>
                <w:color w:val="C13A39"/>
                <w:sz w:val="19"/>
              </w:rPr>
              <w:t>0.001 – 0.145</w:t>
            </w:r>
          </w:p>
        </w:tc>
        <w:tc>
          <w:tcPr>
            <w:tcW w:type="dxa" w:w="1872"/>
          </w:tcPr>
          <w:p>
            <w:pPr>
              <w:spacing w:after="40"/>
              <w:jc w:val="right"/>
            </w:pPr>
            <w:r/>
            <w:r>
              <w:rPr>
                <w:rFonts w:ascii="Consolas" w:hAnsi="Consolas"/>
                <w:b/>
                <w:color w:val="C13A39"/>
                <w:sz w:val="19"/>
              </w:rPr>
              <w:t>73.5%</w:t>
            </w:r>
          </w:p>
        </w:tc>
      </w:tr>
    </w:tbl>
    <w:p>
      <w:pPr>
        <w:spacing w:after="80"/>
      </w:pPr>
    </w:p>
    <w:p>
      <w:pPr>
        <w:pStyle w:val="Heading3"/>
      </w:pPr>
      <w:r>
        <w:t>Benchmark — the existing HCP pipeline</w:t>
      </w:r>
    </w:p>
    <w:tbl>
      <w:tblPr>
        <w:tblStyle w:val="TableGrid"/>
        <w:tblW w:type="auto" w:w="0"/>
        <w:jc w:val="left"/>
        <w:tblLook w:firstColumn="1" w:firstRow="1" w:lastColumn="0" w:lastRow="0" w:noHBand="0" w:noVBand="1" w:val="04A0"/>
      </w:tblPr>
      <w:tblGrid>
        <w:gridCol w:w="4752"/>
        <w:gridCol w:w="4752"/>
      </w:tblGrid>
      <w:tr>
        <w:tc>
          <w:tcPr>
            <w:tcW w:type="dxa" w:w="3744"/>
            <w:shd w:fill="EDF1F5"/>
          </w:tcPr>
          <w:p>
            <w:pPr>
              <w:spacing w:after="40"/>
            </w:pPr>
            <w:r/>
            <w:r>
              <w:rPr>
                <w:b/>
                <w:color w:val="454F5A"/>
                <w:sz w:val="18"/>
              </w:rPr>
              <w:t>Measure</w:t>
            </w:r>
          </w:p>
        </w:tc>
        <w:tc>
          <w:tcPr>
            <w:tcW w:type="dxa" w:w="2592"/>
            <w:shd w:fill="EDF1F5"/>
          </w:tcPr>
          <w:p>
            <w:pPr>
              <w:spacing w:after="40"/>
              <w:jc w:val="right"/>
            </w:pPr>
            <w:r/>
            <w:r>
              <w:rPr>
                <w:b/>
                <w:color w:val="454F5A"/>
                <w:sz w:val="18"/>
              </w:rPr>
              <w:t>Figure</w:t>
            </w:r>
          </w:p>
        </w:tc>
      </w:tr>
      <w:tr>
        <w:tc>
          <w:tcPr>
            <w:tcW w:type="dxa" w:w="3744"/>
          </w:tcPr>
          <w:p>
            <w:pPr>
              <w:spacing w:after="40"/>
            </w:pPr>
            <w:r/>
            <w:r>
              <w:rPr>
                <w:b w:val="0"/>
                <w:color w:val="1D2733"/>
                <w:sz w:val="19"/>
              </w:rPr>
              <w:t>Phase-1 candidates</w:t>
            </w:r>
          </w:p>
        </w:tc>
        <w:tc>
          <w:tcPr>
            <w:tcW w:type="dxa" w:w="2592"/>
          </w:tcPr>
          <w:p>
            <w:pPr>
              <w:spacing w:after="40"/>
              <w:jc w:val="right"/>
            </w:pPr>
            <w:r/>
            <w:r>
              <w:rPr>
                <w:rFonts w:ascii="Consolas" w:hAnsi="Consolas"/>
                <w:b w:val="0"/>
                <w:color w:val="1D2733"/>
                <w:sz w:val="19"/>
              </w:rPr>
              <w:t>204,130</w:t>
            </w:r>
          </w:p>
        </w:tc>
      </w:tr>
      <w:tr>
        <w:tc>
          <w:tcPr>
            <w:tcW w:type="dxa" w:w="3744"/>
          </w:tcPr>
          <w:p>
            <w:pPr>
              <w:spacing w:after="40"/>
            </w:pPr>
            <w:r/>
            <w:r>
              <w:rPr>
                <w:b w:val="0"/>
                <w:color w:val="1D2733"/>
                <w:sz w:val="19"/>
              </w:rPr>
              <w:t>Final HCP list</w:t>
            </w:r>
          </w:p>
        </w:tc>
        <w:tc>
          <w:tcPr>
            <w:tcW w:type="dxa" w:w="2592"/>
          </w:tcPr>
          <w:p>
            <w:pPr>
              <w:spacing w:after="40"/>
              <w:jc w:val="right"/>
            </w:pPr>
            <w:r/>
            <w:r>
              <w:rPr>
                <w:rFonts w:ascii="Consolas" w:hAnsi="Consolas"/>
                <w:b w:val="0"/>
                <w:color w:val="1D2733"/>
                <w:sz w:val="19"/>
              </w:rPr>
              <w:t>94,139</w:t>
            </w:r>
          </w:p>
        </w:tc>
      </w:tr>
      <w:tr>
        <w:tc>
          <w:tcPr>
            <w:tcW w:type="dxa" w:w="3744"/>
          </w:tcPr>
          <w:p>
            <w:pPr>
              <w:spacing w:after="40"/>
            </w:pPr>
            <w:r/>
            <w:r>
              <w:rPr>
                <w:b w:val="0"/>
                <w:color w:val="1D2733"/>
                <w:sz w:val="19"/>
              </w:rPr>
              <w:t>Present in CDP</w:t>
            </w:r>
          </w:p>
        </w:tc>
        <w:tc>
          <w:tcPr>
            <w:tcW w:type="dxa" w:w="2592"/>
          </w:tcPr>
          <w:p>
            <w:pPr>
              <w:spacing w:after="40"/>
              <w:jc w:val="right"/>
            </w:pPr>
            <w:r/>
            <w:r>
              <w:rPr>
                <w:rFonts w:ascii="Consolas" w:hAnsi="Consolas"/>
                <w:b w:val="0"/>
                <w:color w:val="1D2733"/>
                <w:sz w:val="19"/>
              </w:rPr>
              <w:t>93,177  (99.0%)</w:t>
            </w:r>
          </w:p>
        </w:tc>
      </w:tr>
      <w:tr>
        <w:tc>
          <w:tcPr>
            <w:tcW w:type="dxa" w:w="3744"/>
          </w:tcPr>
          <w:p>
            <w:pPr>
              <w:spacing w:after="40"/>
            </w:pPr>
            <w:r/>
            <w:r>
              <w:rPr>
                <w:b w:val="0"/>
                <w:color w:val="1D2733"/>
                <w:sz w:val="19"/>
              </w:rPr>
              <w:t>Marketable</w:t>
            </w:r>
          </w:p>
        </w:tc>
        <w:tc>
          <w:tcPr>
            <w:tcW w:type="dxa" w:w="2592"/>
          </w:tcPr>
          <w:p>
            <w:pPr>
              <w:spacing w:after="40"/>
              <w:jc w:val="right"/>
            </w:pPr>
            <w:r/>
            <w:r>
              <w:rPr>
                <w:rFonts w:ascii="Consolas" w:hAnsi="Consolas"/>
                <w:b w:val="0"/>
                <w:color w:val="1D2733"/>
                <w:sz w:val="19"/>
              </w:rPr>
              <w:t>21,040  (22.4%)</w:t>
            </w:r>
          </w:p>
        </w:tc>
      </w:tr>
      <w:tr>
        <w:tc>
          <w:tcPr>
            <w:tcW w:type="dxa" w:w="3744"/>
          </w:tcPr>
          <w:p>
            <w:pPr>
              <w:spacing w:after="40"/>
            </w:pPr>
            <w:r/>
            <w:r>
              <w:rPr>
                <w:b w:val="0"/>
                <w:color w:val="1D2733"/>
                <w:sz w:val="19"/>
              </w:rPr>
              <w:t>Advertisable</w:t>
            </w:r>
          </w:p>
        </w:tc>
        <w:tc>
          <w:tcPr>
            <w:tcW w:type="dxa" w:w="2592"/>
          </w:tcPr>
          <w:p>
            <w:pPr>
              <w:spacing w:after="40"/>
              <w:jc w:val="right"/>
            </w:pPr>
            <w:r/>
            <w:r>
              <w:rPr>
                <w:rFonts w:ascii="Consolas" w:hAnsi="Consolas"/>
                <w:b w:val="0"/>
                <w:color w:val="1D2733"/>
                <w:sz w:val="19"/>
              </w:rPr>
              <w:t>11,830  (12.6%)</w:t>
            </w:r>
          </w:p>
        </w:tc>
      </w:tr>
    </w:tbl>
    <w:p>
      <w:pPr>
        <w:spacing w:after="80"/>
      </w:pPr>
    </w:p>
    <w:p>
      <w:pPr>
        <w:spacing w:after="140"/>
      </w:pPr>
      <w:r>
        <w:rPr>
          <w:b w:val="0"/>
          <w:i w:val="0"/>
          <w:color w:val="59636E"/>
          <w:sz w:val="19"/>
        </w:rPr>
        <w:t>Reproducing these labels on the same population is the validation gate for the new pipeline.</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1" w:lineRule="auto"/>
    </w:pPr>
    <w:rPr>
      <w:rFonts w:ascii="Calibri" w:hAnsi="Calibri"/>
      <w:color w:val="1D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27508E"/>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D2733"/>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D27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