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8"/>
        </w:rPr>
        <w:t>CashPredix — Weekly Progress Report</w:t>
      </w:r>
    </w:p>
    <w:p>
      <w:pPr>
        <w:spacing w:before="0" w:after="280"/>
      </w:pPr>
      <w:r>
        <w:rPr>
          <w:rFonts w:ascii="Calibri" w:hAnsi="Calibri"/>
          <w:i/>
          <w:color w:val="4B5563"/>
          <w:sz w:val="26"/>
        </w:rPr>
        <w:t>Week 4: Machine Learning Pipeline, Feature Engineering &amp; Behavioral Scoring</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pPr>
              <w:spacing w:after="0"/>
            </w:pPr>
            <w:r>
              <w:rPr>
                <w:rFonts w:ascii="Calibri" w:hAnsi="Calibri"/>
                <w:b/>
                <w:color w:val="1E3A8A"/>
                <w:sz w:val="19"/>
              </w:rPr>
              <w:t>Project Title:</w:t>
            </w:r>
          </w:p>
        </w:tc>
        <w:tc>
          <w:tcPr>
            <w:tcW w:type="dxa" w:w="6480"/>
            <w:shd w:fill="F8FAFC"/>
            <w:tcMar>
              <w:top w:w="60" w:type="dxa"/>
              <w:bottom w:w="60" w:type="dxa"/>
              <w:left w:w="100" w:type="dxa"/>
              <w:right w:w="100" w:type="dxa"/>
            </w:tcMar>
          </w:tcPr>
          <w:p>
            <w:pPr>
              <w:spacing w:after="0"/>
            </w:pPr>
            <w:r>
              <w:rPr>
                <w:rFonts w:ascii="Calibri" w:hAnsi="Calibri"/>
                <w:color w:val="111827"/>
                <w:sz w:val="19"/>
              </w:rPr>
              <w:t>CashPredix — Autonomous Liquidity Prediction &amp; Supplier Risk Management</w:t>
            </w:r>
          </w:p>
        </w:tc>
      </w:tr>
      <w:tr>
        <w:tc>
          <w:tcPr>
            <w:tcW w:type="dxa" w:w="2880"/>
            <w:shd w:fill="F8FAFC"/>
            <w:tcMar>
              <w:top w:w="60" w:type="dxa"/>
              <w:bottom w:w="60" w:type="dxa"/>
              <w:left w:w="100" w:type="dxa"/>
              <w:right w:w="100" w:type="dxa"/>
            </w:tcMar>
          </w:tcPr>
          <w:p>
            <w:pPr>
              <w:spacing w:after="0"/>
            </w:pPr>
            <w:r>
              <w:rPr>
                <w:rFonts w:ascii="Calibri" w:hAnsi="Calibri"/>
                <w:b/>
                <w:color w:val="1E3A8A"/>
                <w:sz w:val="19"/>
              </w:rPr>
              <w:t>Sprint Period:</w:t>
            </w:r>
          </w:p>
        </w:tc>
        <w:tc>
          <w:tcPr>
            <w:tcW w:type="dxa" w:w="6480"/>
            <w:shd w:fill="F8FAFC"/>
            <w:tcMar>
              <w:top w:w="60" w:type="dxa"/>
              <w:bottom w:w="60" w:type="dxa"/>
              <w:left w:w="100" w:type="dxa"/>
              <w:right w:w="100" w:type="dxa"/>
            </w:tcMar>
          </w:tcPr>
          <w:p>
            <w:pPr>
              <w:spacing w:after="0"/>
            </w:pPr>
            <w:r>
              <w:rPr>
                <w:rFonts w:ascii="Calibri" w:hAnsi="Calibri"/>
                <w:color w:val="111827"/>
                <w:sz w:val="19"/>
              </w:rPr>
              <w:t>Week 4 (October 19, 2026 – October 25, 2026)</w:t>
            </w:r>
          </w:p>
        </w:tc>
      </w:tr>
      <w:tr>
        <w:tc>
          <w:tcPr>
            <w:tcW w:type="dxa" w:w="2880"/>
            <w:shd w:fill="F8FAFC"/>
            <w:tcMar>
              <w:top w:w="60" w:type="dxa"/>
              <w:bottom w:w="60" w:type="dxa"/>
              <w:left w:w="100" w:type="dxa"/>
              <w:right w:w="100" w:type="dxa"/>
            </w:tcMar>
          </w:tcPr>
          <w:p>
            <w:pPr>
              <w:spacing w:after="0"/>
            </w:pPr>
            <w:r>
              <w:rPr>
                <w:rFonts w:ascii="Calibri" w:hAnsi="Calibri"/>
                <w:b/>
                <w:color w:val="1E3A8A"/>
                <w:sz w:val="19"/>
              </w:rPr>
              <w:t>Author / Developer:</w:t>
            </w:r>
          </w:p>
        </w:tc>
        <w:tc>
          <w:tcPr>
            <w:tcW w:type="dxa" w:w="6480"/>
            <w:shd w:fill="F8FAFC"/>
            <w:tcMar>
              <w:top w:w="60" w:type="dxa"/>
              <w:bottom w:w="60" w:type="dxa"/>
              <w:left w:w="100" w:type="dxa"/>
              <w:right w:w="100" w:type="dxa"/>
            </w:tcMar>
          </w:tcPr>
          <w:p>
            <w:pPr>
              <w:spacing w:after="0"/>
            </w:pPr>
            <w:r>
              <w:rPr>
                <w:rFonts w:ascii="Calibri" w:hAnsi="Calibri"/>
                <w:color w:val="111827"/>
                <w:sz w:val="19"/>
              </w:rPr>
              <w:t>Merve Gazi</w:t>
            </w:r>
          </w:p>
        </w:tc>
      </w:tr>
      <w:tr>
        <w:tc>
          <w:tcPr>
            <w:tcW w:type="dxa" w:w="2880"/>
            <w:shd w:fill="F8FAFC"/>
            <w:tcMar>
              <w:top w:w="60" w:type="dxa"/>
              <w:bottom w:w="60" w:type="dxa"/>
              <w:left w:w="100" w:type="dxa"/>
              <w:right w:w="100" w:type="dxa"/>
            </w:tcMar>
          </w:tcPr>
          <w:p>
            <w:pPr>
              <w:spacing w:after="0"/>
            </w:pPr>
            <w:r>
              <w:rPr>
                <w:rFonts w:ascii="Calibri" w:hAnsi="Calibri"/>
                <w:b/>
                <w:color w:val="1E3A8A"/>
                <w:sz w:val="19"/>
              </w:rPr>
              <w:t>Supervisor / Reviewer:</w:t>
            </w:r>
          </w:p>
        </w:tc>
        <w:tc>
          <w:tcPr>
            <w:tcW w:type="dxa" w:w="6480"/>
            <w:shd w:fill="F8FAFC"/>
            <w:tcMar>
              <w:top w:w="60" w:type="dxa"/>
              <w:bottom w:w="60" w:type="dxa"/>
              <w:left w:w="100" w:type="dxa"/>
              <w:right w:w="100" w:type="dxa"/>
            </w:tcMar>
          </w:tcPr>
          <w:p>
            <w:pPr>
              <w:spacing w:after="0"/>
            </w:pPr>
            <w:r>
              <w:rPr>
                <w:rFonts w:ascii="Calibri" w:hAnsi="Calibri"/>
                <w:color w:val="111827"/>
                <w:sz w:val="19"/>
              </w:rPr>
              <w:t>Academic Advisor / Course Professor</w:t>
            </w:r>
          </w:p>
        </w:tc>
      </w:tr>
      <w:tr>
        <w:tc>
          <w:tcPr>
            <w:tcW w:type="dxa" w:w="2880"/>
            <w:shd w:fill="F8FAFC"/>
            <w:tcMar>
              <w:top w:w="60" w:type="dxa"/>
              <w:bottom w:w="60" w:type="dxa"/>
              <w:left w:w="100" w:type="dxa"/>
              <w:right w:w="100" w:type="dxa"/>
            </w:tcMar>
          </w:tcPr>
          <w:p>
            <w:pPr>
              <w:spacing w:after="0"/>
            </w:pPr>
            <w:r>
              <w:rPr>
                <w:rFonts w:ascii="Calibri" w:hAnsi="Calibri"/>
                <w:b/>
                <w:color w:val="1E3A8A"/>
                <w:sz w:val="19"/>
              </w:rPr>
              <w:t>GitHub Repository:</w:t>
            </w:r>
          </w:p>
        </w:tc>
        <w:tc>
          <w:tcPr>
            <w:tcW w:type="dxa" w:w="6480"/>
            <w:shd w:fill="F8FAFC"/>
            <w:tcMar>
              <w:top w:w="60" w:type="dxa"/>
              <w:bottom w:w="60" w:type="dxa"/>
              <w:left w:w="100" w:type="dxa"/>
              <w:right w:w="100" w:type="dxa"/>
            </w:tcMar>
          </w:tcPr>
          <w:p>
            <w:pPr>
              <w:spacing w:after="0"/>
            </w:pPr>
            <w:r>
              <w:rPr>
                <w:rFonts w:ascii="Calibri" w:hAnsi="Calibri"/>
                <w:color w:val="111827"/>
                <w:sz w:val="19"/>
              </w:rPr>
              <w:t>https://github.com/mervegazi/CashPredix</w:t>
            </w:r>
          </w:p>
        </w:tc>
      </w:tr>
    </w:tbl>
    <w:p>
      <w:pPr>
        <w:spacing w:before="160" w:after="160"/>
      </w:pPr>
    </w:p>
    <w:p>
      <w:pPr>
        <w:pStyle w:val="Heading1"/>
        <w:spacing w:before="280" w:after="120"/>
      </w:pPr>
      <w:r>
        <w:t>1. Executive Summary &amp; Sprint Objectives</w:t>
      </w:r>
    </w:p>
    <w:p>
      <w:pPr>
        <w:spacing w:line="276" w:lineRule="auto" w:after="160"/>
      </w:pPr>
      <w:r>
        <w:t>During Week 4 of the CashPredix engineering lifecycle, the project successfully transitioned from frontend data management into the core Machine Learning intelligence architecture. The primary objective was to build the statistical foundations for liquidity prediction: setting up a reproducible scientific Python environment, creating a dual-source Supabase and offline synthetic data pipeline, engineering 18 predictive customer behavioral features, developing a proprietary Behavioral Reliability Scoring Engine (calibrated 0–100), and validating model performance against established financial baselines.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40" w:line="276" w:lineRule="auto"/>
            </w:pPr>
            <w:r>
              <w:rPr>
                <w:rFonts w:ascii="Calibri" w:hAnsi="Calibri"/>
                <w:b/>
                <w:color w:val="1E40AF"/>
                <w:sz w:val="20"/>
              </w:rPr>
              <w:t xml:space="preserve">[SPRINT MILESTONE ACCOMPLISHED] </w:t>
            </w:r>
            <w:r>
              <w:rPr>
                <w:rFonts w:ascii="Calibri" w:hAnsi="Calibri"/>
                <w:color w:val="1F2937"/>
                <w:sz w:val="20"/>
              </w:rPr>
              <w:t>All Week 4 GitHub Project tasks (#17, #18, #19, #20, #51) were completed and verified with 100% test passing rates. The trained Behavioral Scoring Engine achieved a Hold-Out R² of 0.9991, 5-Fold Cross-Validation R² of 0.9859 ± 0.006, and reduced Mean Absolute Error by over 94% compared to standard on-time heuristics.</w:t>
            </w:r>
          </w:p>
        </w:tc>
      </w:tr>
    </w:tbl>
    <w:p>
      <w:pPr>
        <w:spacing w:before="0" w:after="80"/>
      </w:pPr>
    </w:p>
    <w:p>
      <w:pPr>
        <w:pStyle w:val="Heading2"/>
        <w:spacing w:before="200" w:after="120"/>
      </w:pPr>
      <w:r>
        <w:t>2. Deliverables Summary</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rFonts w:ascii="Calibri" w:hAnsi="Calibri"/>
                <w:b/>
                <w:color w:val="FFFFFF"/>
                <w:sz w:val="20"/>
              </w:rPr>
              <w:t>Task ID</w:t>
            </w:r>
          </w:p>
        </w:tc>
        <w:tc>
          <w:tcPr>
            <w:tcW w:type="dxa" w:w="3120"/>
            <w:shd w:fill="1E3A8A"/>
            <w:tcMar>
              <w:top w:w="100" w:type="dxa"/>
              <w:bottom w:w="100" w:type="dxa"/>
              <w:left w:w="120" w:type="dxa"/>
              <w:right w:w="120" w:type="dxa"/>
            </w:tcMar>
          </w:tcPr>
          <w:p>
            <w:r>
              <w:rPr>
                <w:rFonts w:ascii="Calibri" w:hAnsi="Calibri"/>
                <w:b/>
                <w:color w:val="FFFFFF"/>
                <w:sz w:val="20"/>
              </w:rPr>
              <w:t>Objective &amp; Scope</w:t>
            </w:r>
          </w:p>
        </w:tc>
        <w:tc>
          <w:tcPr>
            <w:tcW w:type="dxa" w:w="3120"/>
            <w:shd w:fill="1E3A8A"/>
            <w:tcMar>
              <w:top w:w="100" w:type="dxa"/>
              <w:bottom w:w="100" w:type="dxa"/>
              <w:left w:w="120" w:type="dxa"/>
              <w:right w:w="120" w:type="dxa"/>
            </w:tcMar>
          </w:tcPr>
          <w:p>
            <w:r>
              <w:rPr>
                <w:rFonts w:ascii="Calibri" w:hAnsi="Calibri"/>
                <w:b/>
                <w:color w:val="FFFFFF"/>
                <w:sz w:val="20"/>
              </w:rPr>
              <w:t>Implementation &amp; Output</w:t>
            </w:r>
          </w:p>
        </w:tc>
      </w:tr>
      <w:tr>
        <w:tc>
          <w:tcPr>
            <w:tcW w:type="dxa" w:w="3120"/>
            <w:shd w:fill="F9FAFB"/>
            <w:tcMar>
              <w:top w:w="80" w:type="dxa"/>
              <w:bottom w:w="80" w:type="dxa"/>
              <w:left w:w="100" w:type="dxa"/>
              <w:right w:w="100" w:type="dxa"/>
            </w:tcMar>
          </w:tcPr>
          <w:p>
            <w:r>
              <w:rPr>
                <w:rFonts w:ascii="Calibri" w:hAnsi="Calibri"/>
                <w:b/>
                <w:color w:val="1E3A8A"/>
                <w:sz w:val="19"/>
              </w:rPr>
              <w:t>Task #17</w:t>
            </w:r>
          </w:p>
        </w:tc>
        <w:tc>
          <w:tcPr>
            <w:tcW w:type="dxa" w:w="3120"/>
            <w:shd w:fill="F9FAFB"/>
            <w:tcMar>
              <w:top w:w="80" w:type="dxa"/>
              <w:bottom w:w="80" w:type="dxa"/>
              <w:left w:w="100" w:type="dxa"/>
              <w:right w:w="100" w:type="dxa"/>
            </w:tcMar>
          </w:tcPr>
          <w:p>
            <w:r>
              <w:rPr>
                <w:rFonts w:ascii="Calibri" w:hAnsi="Calibri"/>
                <w:sz w:val="19"/>
              </w:rPr>
              <w:t>ML Environment &amp; Data Pipeline</w:t>
            </w:r>
          </w:p>
        </w:tc>
        <w:tc>
          <w:tcPr>
            <w:tcW w:type="dxa" w:w="3120"/>
            <w:shd w:fill="F9FAFB"/>
            <w:tcMar>
              <w:top w:w="80" w:type="dxa"/>
              <w:bottom w:w="80" w:type="dxa"/>
              <w:left w:w="100" w:type="dxa"/>
              <w:right w:w="100" w:type="dxa"/>
            </w:tcMar>
          </w:tcPr>
          <w:p>
            <w:r>
              <w:rPr>
                <w:rFonts w:ascii="Calibri" w:hAnsi="Calibri"/>
                <w:sz w:val="19"/>
              </w:rPr>
              <w:t>Python .venv configured, requirements.txt, dual Supabase/synthetic fallback loader, automated DPD/amount imputation (ml/data_pipeline.py).</w:t>
            </w:r>
          </w:p>
        </w:tc>
      </w:tr>
      <w:tr>
        <w:tc>
          <w:tcPr>
            <w:tcW w:type="dxa" w:w="3120"/>
            <w:shd w:fill="FFFFFF"/>
            <w:tcMar>
              <w:top w:w="80" w:type="dxa"/>
              <w:bottom w:w="80" w:type="dxa"/>
              <w:left w:w="100" w:type="dxa"/>
              <w:right w:w="100" w:type="dxa"/>
            </w:tcMar>
          </w:tcPr>
          <w:p>
            <w:r>
              <w:rPr>
                <w:rFonts w:ascii="Calibri" w:hAnsi="Calibri"/>
                <w:b/>
                <w:color w:val="1E3A8A"/>
                <w:sz w:val="19"/>
              </w:rPr>
              <w:t>Task #18</w:t>
            </w:r>
          </w:p>
        </w:tc>
        <w:tc>
          <w:tcPr>
            <w:tcW w:type="dxa" w:w="3120"/>
            <w:shd w:fill="FFFFFF"/>
            <w:tcMar>
              <w:top w:w="80" w:type="dxa"/>
              <w:bottom w:w="80" w:type="dxa"/>
              <w:left w:w="100" w:type="dxa"/>
              <w:right w:w="100" w:type="dxa"/>
            </w:tcMar>
          </w:tcPr>
          <w:p>
            <w:r>
              <w:rPr>
                <w:rFonts w:ascii="Calibri" w:hAnsi="Calibri"/>
                <w:sz w:val="19"/>
              </w:rPr>
              <w:t>Feature Engineering &amp; Statistical Filtering</w:t>
            </w:r>
          </w:p>
        </w:tc>
        <w:tc>
          <w:tcPr>
            <w:tcW w:type="dxa" w:w="3120"/>
            <w:shd w:fill="FFFFFF"/>
            <w:tcMar>
              <w:top w:w="80" w:type="dxa"/>
              <w:bottom w:w="80" w:type="dxa"/>
              <w:left w:w="100" w:type="dxa"/>
              <w:right w:w="100" w:type="dxa"/>
            </w:tcMar>
          </w:tcPr>
          <w:p>
            <w:r>
              <w:rPr>
                <w:rFonts w:ascii="Calibri" w:hAnsi="Calibri"/>
                <w:sz w:val="19"/>
              </w:rPr>
              <w:t>IQR &amp; Z-score Winsorization clipping outliers, contract term normalization, and extraction of 18 behavioral features across 273 counterparties (ml/feature_engineering.py).</w:t>
            </w:r>
          </w:p>
        </w:tc>
      </w:tr>
      <w:tr>
        <w:tc>
          <w:tcPr>
            <w:tcW w:type="dxa" w:w="3120"/>
            <w:shd w:fill="F9FAFB"/>
            <w:tcMar>
              <w:top w:w="80" w:type="dxa"/>
              <w:bottom w:w="80" w:type="dxa"/>
              <w:left w:w="100" w:type="dxa"/>
              <w:right w:w="100" w:type="dxa"/>
            </w:tcMar>
          </w:tcPr>
          <w:p>
            <w:r>
              <w:rPr>
                <w:rFonts w:ascii="Calibri" w:hAnsi="Calibri"/>
                <w:b/>
                <w:color w:val="1E3A8A"/>
                <w:sz w:val="19"/>
              </w:rPr>
              <w:t>Task #19</w:t>
            </w:r>
          </w:p>
        </w:tc>
        <w:tc>
          <w:tcPr>
            <w:tcW w:type="dxa" w:w="3120"/>
            <w:shd w:fill="F9FAFB"/>
            <w:tcMar>
              <w:top w:w="80" w:type="dxa"/>
              <w:bottom w:w="80" w:type="dxa"/>
              <w:left w:w="100" w:type="dxa"/>
              <w:right w:w="100" w:type="dxa"/>
            </w:tcMar>
          </w:tcPr>
          <w:p>
            <w:r>
              <w:rPr>
                <w:rFonts w:ascii="Calibri" w:hAnsi="Calibri"/>
                <w:sz w:val="19"/>
              </w:rPr>
              <w:t>Core Behavioral Scoring Algorithm</w:t>
            </w:r>
          </w:p>
        </w:tc>
        <w:tc>
          <w:tcPr>
            <w:tcW w:type="dxa" w:w="3120"/>
            <w:shd w:fill="F9FAFB"/>
            <w:tcMar>
              <w:top w:w="80" w:type="dxa"/>
              <w:bottom w:w="80" w:type="dxa"/>
              <w:left w:w="100" w:type="dxa"/>
              <w:right w:w="100" w:type="dxa"/>
            </w:tcMar>
          </w:tcPr>
          <w:p>
            <w:r>
              <w:rPr>
                <w:rFonts w:ascii="Calibri" w:hAnsi="Calibri"/>
                <w:sz w:val="19"/>
              </w:rPr>
              <w:t>Supervised ensemble Gradient Boosting (65%) + Random Forest (35%) regressor, calibrated 0-100 reliability score, 4-tier risk classification, model serialization (ml/behavioral_scoring.py).</w:t>
            </w:r>
          </w:p>
        </w:tc>
      </w:tr>
      <w:tr>
        <w:tc>
          <w:tcPr>
            <w:tcW w:type="dxa" w:w="3120"/>
            <w:shd w:fill="FFFFFF"/>
            <w:tcMar>
              <w:top w:w="80" w:type="dxa"/>
              <w:bottom w:w="80" w:type="dxa"/>
              <w:left w:w="100" w:type="dxa"/>
              <w:right w:w="100" w:type="dxa"/>
            </w:tcMar>
          </w:tcPr>
          <w:p>
            <w:r>
              <w:rPr>
                <w:rFonts w:ascii="Calibri" w:hAnsi="Calibri"/>
                <w:b/>
                <w:color w:val="1E3A8A"/>
                <w:sz w:val="19"/>
              </w:rPr>
              <w:t>Task #20</w:t>
            </w:r>
          </w:p>
        </w:tc>
        <w:tc>
          <w:tcPr>
            <w:tcW w:type="dxa" w:w="3120"/>
            <w:shd w:fill="FFFFFF"/>
            <w:tcMar>
              <w:top w:w="80" w:type="dxa"/>
              <w:bottom w:w="80" w:type="dxa"/>
              <w:left w:w="100" w:type="dxa"/>
              <w:right w:w="100" w:type="dxa"/>
            </w:tcMar>
          </w:tcPr>
          <w:p>
            <w:r>
              <w:rPr>
                <w:rFonts w:ascii="Calibri" w:hAnsi="Calibri"/>
                <w:sz w:val="19"/>
              </w:rPr>
              <w:t>Model Validation &amp; Documentation</w:t>
            </w:r>
          </w:p>
        </w:tc>
        <w:tc>
          <w:tcPr>
            <w:tcW w:type="dxa" w:w="3120"/>
            <w:shd w:fill="FFFFFF"/>
            <w:tcMar>
              <w:top w:w="80" w:type="dxa"/>
              <w:bottom w:w="80" w:type="dxa"/>
              <w:left w:w="100" w:type="dxa"/>
              <w:right w:w="100" w:type="dxa"/>
            </w:tcMar>
          </w:tcPr>
          <w:p>
            <w:r>
              <w:rPr>
                <w:rFonts w:ascii="Calibri" w:hAnsi="Calibri"/>
                <w:sz w:val="19"/>
              </w:rPr>
              <w:t>5-Fold Cross Validation (CV R²: 0.9859), benchmarking against 4 industry baselines, monotonicity verification, and technical documentation (docs/BEHAVIORAL_SCORING_METHODOLOGY.md).</w:t>
            </w:r>
          </w:p>
        </w:tc>
      </w:tr>
      <w:tr>
        <w:tc>
          <w:tcPr>
            <w:tcW w:type="dxa" w:w="3120"/>
            <w:shd w:fill="F9FAFB"/>
            <w:tcMar>
              <w:top w:w="80" w:type="dxa"/>
              <w:bottom w:w="80" w:type="dxa"/>
              <w:left w:w="100" w:type="dxa"/>
              <w:right w:w="100" w:type="dxa"/>
            </w:tcMar>
          </w:tcPr>
          <w:p>
            <w:r>
              <w:rPr>
                <w:rFonts w:ascii="Calibri" w:hAnsi="Calibri"/>
                <w:b/>
                <w:color w:val="1E3A8A"/>
                <w:sz w:val="19"/>
              </w:rPr>
              <w:t>Task #51</w:t>
            </w:r>
          </w:p>
        </w:tc>
        <w:tc>
          <w:tcPr>
            <w:tcW w:type="dxa" w:w="3120"/>
            <w:shd w:fill="F9FAFB"/>
            <w:tcMar>
              <w:top w:w="80" w:type="dxa"/>
              <w:bottom w:w="80" w:type="dxa"/>
              <w:left w:w="100" w:type="dxa"/>
              <w:right w:w="100" w:type="dxa"/>
            </w:tcMar>
          </w:tcPr>
          <w:p>
            <w:r>
              <w:rPr>
                <w:rFonts w:ascii="Calibri" w:hAnsi="Calibri"/>
                <w:sz w:val="19"/>
              </w:rPr>
              <w:t>Weekly Progress Report</w:t>
            </w:r>
          </w:p>
        </w:tc>
        <w:tc>
          <w:tcPr>
            <w:tcW w:type="dxa" w:w="3120"/>
            <w:shd w:fill="F9FAFB"/>
            <w:tcMar>
              <w:top w:w="80" w:type="dxa"/>
              <w:bottom w:w="80" w:type="dxa"/>
              <w:left w:w="100" w:type="dxa"/>
              <w:right w:w="100" w:type="dxa"/>
            </w:tcMar>
          </w:tcPr>
          <w:p>
            <w:r>
              <w:rPr>
                <w:rFonts w:ascii="Calibri" w:hAnsi="Calibri"/>
                <w:sz w:val="19"/>
              </w:rPr>
              <w:t>Compilation and formal submission of Sprint Week 4 progress report in Markdown and Microsoft Word (.docx) formats.</w:t>
            </w:r>
          </w:p>
        </w:tc>
      </w:tr>
    </w:tbl>
    <w:p>
      <w:pPr>
        <w:pStyle w:val="Heading1"/>
        <w:spacing w:before="280" w:after="120"/>
      </w:pPr>
      <w:r>
        <w:t>3. Technical Challenges Encountered &amp; Resolutions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rFonts w:ascii="Calibri" w:hAnsi="Calibri"/>
                <w:b/>
                <w:color w:val="FFFFFF"/>
                <w:sz w:val="20"/>
              </w:rPr>
              <w:t># &amp; Challenge</w:t>
            </w:r>
          </w:p>
        </w:tc>
        <w:tc>
          <w:tcPr>
            <w:tcW w:type="dxa" w:w="3120"/>
            <w:shd w:fill="1E3A8A"/>
            <w:tcMar>
              <w:top w:w="100" w:type="dxa"/>
              <w:bottom w:w="100" w:type="dxa"/>
              <w:left w:w="120" w:type="dxa"/>
              <w:right w:w="120" w:type="dxa"/>
            </w:tcMar>
          </w:tcPr>
          <w:p>
            <w:r>
              <w:rPr>
                <w:rFonts w:ascii="Calibri" w:hAnsi="Calibri"/>
                <w:b/>
                <w:color w:val="FFFFFF"/>
                <w:sz w:val="20"/>
              </w:rPr>
              <w:t>Root Cause Analysis</w:t>
            </w:r>
          </w:p>
        </w:tc>
        <w:tc>
          <w:tcPr>
            <w:tcW w:type="dxa" w:w="3120"/>
            <w:shd w:fill="1E3A8A"/>
            <w:tcMar>
              <w:top w:w="100" w:type="dxa"/>
              <w:bottom w:w="100" w:type="dxa"/>
              <w:left w:w="120" w:type="dxa"/>
              <w:right w:w="120" w:type="dxa"/>
            </w:tcMar>
          </w:tcPr>
          <w:p>
            <w:r>
              <w:rPr>
                <w:rFonts w:ascii="Calibri" w:hAnsi="Calibri"/>
                <w:b/>
                <w:color w:val="FFFFFF"/>
                <w:sz w:val="20"/>
              </w:rPr>
              <w:t>Implemented Engineering Resolution</w:t>
            </w:r>
          </w:p>
        </w:tc>
      </w:tr>
      <w:tr>
        <w:tc>
          <w:tcPr>
            <w:tcW w:type="dxa" w:w="3120"/>
            <w:shd w:fill="F9FAFB"/>
            <w:tcMar>
              <w:top w:w="80" w:type="dxa"/>
              <w:bottom w:w="80" w:type="dxa"/>
              <w:left w:w="100" w:type="dxa"/>
              <w:right w:w="100" w:type="dxa"/>
            </w:tcMar>
          </w:tcPr>
          <w:p>
            <w:r>
              <w:rPr>
                <w:rFonts w:ascii="Calibri" w:hAnsi="Calibri"/>
                <w:b/>
                <w:color w:val="1E3A8A"/>
                <w:sz w:val="19"/>
              </w:rPr>
              <w:t>1. Supabase Schema Cache Miss</w:t>
            </w:r>
          </w:p>
        </w:tc>
        <w:tc>
          <w:tcPr>
            <w:tcW w:type="dxa" w:w="3120"/>
            <w:shd w:fill="F9FAFB"/>
            <w:tcMar>
              <w:top w:w="80" w:type="dxa"/>
              <w:bottom w:w="80" w:type="dxa"/>
              <w:left w:w="100" w:type="dxa"/>
              <w:right w:w="100" w:type="dxa"/>
            </w:tcMar>
          </w:tcPr>
          <w:p>
            <w:r>
              <w:rPr>
                <w:rFonts w:ascii="Calibri" w:hAnsi="Calibri"/>
                <w:sz w:val="19"/>
              </w:rPr>
              <w:t>Fresh or unmigrated Supabase projects return HTTP 404 (PGRST205) when querying tables via REST API.</w:t>
            </w:r>
          </w:p>
        </w:tc>
        <w:tc>
          <w:tcPr>
            <w:tcW w:type="dxa" w:w="3120"/>
            <w:shd w:fill="F9FAFB"/>
            <w:tcMar>
              <w:top w:w="80" w:type="dxa"/>
              <w:bottom w:w="80" w:type="dxa"/>
              <w:left w:w="100" w:type="dxa"/>
              <w:right w:w="100" w:type="dxa"/>
            </w:tcMar>
          </w:tcPr>
          <w:p>
            <w:r>
              <w:rPr>
                <w:rFonts w:ascii="Calibri" w:hAnsi="Calibri"/>
                <w:sz w:val="19"/>
              </w:rPr>
              <w:t>Engineered a dual-source loader with graceful try-catch fallback that automatically loads verified local synthetic CSV/JSON bundles, eliminating pipeline downtime.</w:t>
            </w:r>
          </w:p>
        </w:tc>
      </w:tr>
      <w:tr>
        <w:tc>
          <w:tcPr>
            <w:tcW w:type="dxa" w:w="3120"/>
            <w:shd w:fill="FFFFFF"/>
            <w:tcMar>
              <w:top w:w="80" w:type="dxa"/>
              <w:bottom w:w="80" w:type="dxa"/>
              <w:left w:w="100" w:type="dxa"/>
              <w:right w:w="100" w:type="dxa"/>
            </w:tcMar>
          </w:tcPr>
          <w:p>
            <w:r>
              <w:rPr>
                <w:rFonts w:ascii="Calibri" w:hAnsi="Calibri"/>
                <w:b/>
                <w:color w:val="1E3A8A"/>
                <w:sz w:val="19"/>
              </w:rPr>
              <w:t>2. Floating-Point Overflow in Baseline Ridge</w:t>
            </w:r>
          </w:p>
        </w:tc>
        <w:tc>
          <w:tcPr>
            <w:tcW w:type="dxa" w:w="3120"/>
            <w:shd w:fill="FFFFFF"/>
            <w:tcMar>
              <w:top w:w="80" w:type="dxa"/>
              <w:bottom w:w="80" w:type="dxa"/>
              <w:left w:w="100" w:type="dxa"/>
              <w:right w:w="100" w:type="dxa"/>
            </w:tcMar>
          </w:tcPr>
          <w:p>
            <w:r>
              <w:rPr>
                <w:rFonts w:ascii="Calibri" w:hAnsi="Calibri"/>
                <w:sz w:val="19"/>
              </w:rPr>
              <w:t>Large unscaled monetary values (turnover &gt; $1M) combined with tiny delay ratios caused matrix multiplication overflow warnings in scikit-learn.</w:t>
            </w:r>
          </w:p>
        </w:tc>
        <w:tc>
          <w:tcPr>
            <w:tcW w:type="dxa" w:w="3120"/>
            <w:shd w:fill="FFFFFF"/>
            <w:tcMar>
              <w:top w:w="80" w:type="dxa"/>
              <w:bottom w:w="80" w:type="dxa"/>
              <w:left w:w="100" w:type="dxa"/>
              <w:right w:w="100" w:type="dxa"/>
            </w:tcMar>
          </w:tcPr>
          <w:p>
            <w:r>
              <w:rPr>
                <w:rFonts w:ascii="Calibri" w:hAnsi="Calibri"/>
                <w:sz w:val="19"/>
              </w:rPr>
              <w:t>Built a unified scikit-learn Pipeline incorporating StandardScaler() before Ridge(), guaranteeing numerical stability across all feature scales.</w:t>
            </w:r>
          </w:p>
        </w:tc>
      </w:tr>
      <w:tr>
        <w:tc>
          <w:tcPr>
            <w:tcW w:type="dxa" w:w="3120"/>
            <w:shd w:fill="F9FAFB"/>
            <w:tcMar>
              <w:top w:w="80" w:type="dxa"/>
              <w:bottom w:w="80" w:type="dxa"/>
              <w:left w:w="100" w:type="dxa"/>
              <w:right w:w="100" w:type="dxa"/>
            </w:tcMar>
          </w:tcPr>
          <w:p>
            <w:r>
              <w:rPr>
                <w:rFonts w:ascii="Calibri" w:hAnsi="Calibri"/>
                <w:b/>
                <w:color w:val="1E3A8A"/>
                <w:sz w:val="19"/>
              </w:rPr>
              <w:t>3. Sparse Customer Record Skew</w:t>
            </w:r>
          </w:p>
        </w:tc>
        <w:tc>
          <w:tcPr>
            <w:tcW w:type="dxa" w:w="3120"/>
            <w:shd w:fill="F9FAFB"/>
            <w:tcMar>
              <w:top w:w="80" w:type="dxa"/>
              <w:bottom w:w="80" w:type="dxa"/>
              <w:left w:w="100" w:type="dxa"/>
              <w:right w:w="100" w:type="dxa"/>
            </w:tcMar>
          </w:tcPr>
          <w:p>
            <w:r>
              <w:rPr>
                <w:rFonts w:ascii="Calibri" w:hAnsi="Calibri"/>
                <w:sz w:val="19"/>
              </w:rPr>
              <w:t>27 enterprise counterparties had fewer than 3 historical payment records, risking extreme delay variance skew.</w:t>
            </w:r>
          </w:p>
        </w:tc>
        <w:tc>
          <w:tcPr>
            <w:tcW w:type="dxa" w:w="3120"/>
            <w:shd w:fill="F9FAFB"/>
            <w:tcMar>
              <w:top w:w="80" w:type="dxa"/>
              <w:bottom w:w="80" w:type="dxa"/>
              <w:left w:w="100" w:type="dxa"/>
              <w:right w:w="100" w:type="dxa"/>
            </w:tcMar>
          </w:tcPr>
          <w:p>
            <w:r>
              <w:rPr>
                <w:rFonts w:ascii="Calibri" w:hAnsi="Calibri"/>
                <w:sz w:val="19"/>
              </w:rPr>
              <w:t>Implemented Bayesian empirical cohort smoothing and logged sparse_customers_detected, applying conservative global cohort priors to prevent overfitting.</w:t>
            </w:r>
          </w:p>
        </w:tc>
      </w:tr>
      <w:tr>
        <w:tc>
          <w:tcPr>
            <w:tcW w:type="dxa" w:w="3120"/>
            <w:shd w:fill="FFFFFF"/>
            <w:tcMar>
              <w:top w:w="80" w:type="dxa"/>
              <w:bottom w:w="80" w:type="dxa"/>
              <w:left w:w="100" w:type="dxa"/>
              <w:right w:w="100" w:type="dxa"/>
            </w:tcMar>
          </w:tcPr>
          <w:p>
            <w:r>
              <w:rPr>
                <w:rFonts w:ascii="Calibri" w:hAnsi="Calibri"/>
                <w:b/>
                <w:color w:val="1E3A8A"/>
                <w:sz w:val="19"/>
              </w:rPr>
              <w:t>4. Module Resolution in Standalone CLI Scripts</w:t>
            </w:r>
          </w:p>
        </w:tc>
        <w:tc>
          <w:tcPr>
            <w:tcW w:type="dxa" w:w="3120"/>
            <w:shd w:fill="FFFFFF"/>
            <w:tcMar>
              <w:top w:w="80" w:type="dxa"/>
              <w:bottom w:w="80" w:type="dxa"/>
              <w:left w:w="100" w:type="dxa"/>
              <w:right w:w="100" w:type="dxa"/>
            </w:tcMar>
          </w:tcPr>
          <w:p>
            <w:r>
              <w:rPr>
                <w:rFonts w:ascii="Calibri" w:hAnsi="Calibri"/>
                <w:sz w:val="19"/>
              </w:rPr>
              <w:t>Executing python ml/feature_engineering.py directly caused ModuleNotFoundError: No module named 'ml' due to Python's script directory sys.path scoping.</w:t>
            </w:r>
          </w:p>
        </w:tc>
        <w:tc>
          <w:tcPr>
            <w:tcW w:type="dxa" w:w="3120"/>
            <w:shd w:fill="FFFFFF"/>
            <w:tcMar>
              <w:top w:w="80" w:type="dxa"/>
              <w:bottom w:w="80" w:type="dxa"/>
              <w:left w:w="100" w:type="dxa"/>
              <w:right w:w="100" w:type="dxa"/>
            </w:tcMar>
          </w:tcPr>
          <w:p>
            <w:r>
              <w:rPr>
                <w:rFonts w:ascii="Calibri" w:hAnsi="Calibri"/>
                <w:sz w:val="19"/>
              </w:rPr>
              <w:t>Added path-agnostic sys.path.insert(0, str(BASE_DIR)) bootstrapping at the top of every ML module, supporting both standalone execution and package imports.</w:t>
            </w:r>
          </w:p>
        </w:tc>
      </w:tr>
      <w:tr>
        <w:tc>
          <w:tcPr>
            <w:tcW w:type="dxa" w:w="3120"/>
            <w:shd w:fill="F9FAFB"/>
            <w:tcMar>
              <w:top w:w="80" w:type="dxa"/>
              <w:bottom w:w="80" w:type="dxa"/>
              <w:left w:w="100" w:type="dxa"/>
              <w:right w:w="100" w:type="dxa"/>
            </w:tcMar>
          </w:tcPr>
          <w:p>
            <w:r>
              <w:rPr>
                <w:rFonts w:ascii="Calibri" w:hAnsi="Calibri"/>
                <w:b/>
                <w:color w:val="1E3A8A"/>
                <w:sz w:val="19"/>
              </w:rPr>
              <w:t>5. Extreme Delay Outlier Distortion</w:t>
            </w:r>
          </w:p>
        </w:tc>
        <w:tc>
          <w:tcPr>
            <w:tcW w:type="dxa" w:w="3120"/>
            <w:shd w:fill="F9FAFB"/>
            <w:tcMar>
              <w:top w:w="80" w:type="dxa"/>
              <w:bottom w:w="80" w:type="dxa"/>
              <w:left w:w="100" w:type="dxa"/>
              <w:right w:w="100" w:type="dxa"/>
            </w:tcMar>
          </w:tcPr>
          <w:p>
            <w:r>
              <w:rPr>
                <w:rFonts w:ascii="Calibri" w:hAnsi="Calibri"/>
                <w:sz w:val="19"/>
              </w:rPr>
              <w:t>Outlier delay records (e.g. 90+ days) distorted gradient tree boosting leaf splits during training.</w:t>
            </w:r>
          </w:p>
        </w:tc>
        <w:tc>
          <w:tcPr>
            <w:tcW w:type="dxa" w:w="3120"/>
            <w:shd w:fill="F9FAFB"/>
            <w:tcMar>
              <w:top w:w="80" w:type="dxa"/>
              <w:bottom w:w="80" w:type="dxa"/>
              <w:left w:w="100" w:type="dxa"/>
              <w:right w:w="100" w:type="dxa"/>
            </w:tcMar>
          </w:tcPr>
          <w:p>
            <w:r>
              <w:rPr>
                <w:rFonts w:ascii="Calibri" w:hAnsi="Calibri"/>
                <w:sz w:val="19"/>
              </w:rPr>
              <w:t>Applied IQR-based Winsorization clipping delay values to [-24.5, +35.5] days and amounts to $28,556.14, preserving sample count while neutralizing gradients.</w:t>
            </w:r>
          </w:p>
        </w:tc>
      </w:tr>
    </w:tbl>
    <w:p>
      <w:pPr>
        <w:pStyle w:val="Heading1"/>
        <w:spacing w:before="280" w:after="120"/>
      </w:pPr>
      <w:r>
        <w:t>4. Empirical Benchmarking &amp; Validation Results</w:t>
      </w:r>
    </w:p>
    <w:p>
      <w:pPr>
        <w:spacing w:line="276" w:lineRule="auto" w:after="120"/>
      </w:pPr>
      <w:r>
        <w:t>To rigorously prove algorithm efficacy, the CashPredix Behavioral Scoring Engine was tested against four standard financial heuristics and evaluated across 5-Fold Cross Validation on 273 commercial counterparties and 3,395 payment records.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00" w:type="dxa"/>
              <w:right w:w="100" w:type="dxa"/>
            </w:tcMar>
          </w:tcPr>
          <w:p>
            <w:r>
              <w:rPr>
                <w:rFonts w:ascii="Calibri" w:hAnsi="Calibri"/>
                <w:b/>
                <w:color w:val="FFFFFF"/>
                <w:sz w:val="20"/>
              </w:rPr>
              <w:t>Model / Baseline</w:t>
            </w:r>
          </w:p>
        </w:tc>
        <w:tc>
          <w:tcPr>
            <w:tcW w:type="dxa" w:w="1872"/>
            <w:shd w:fill="1E3A8A"/>
            <w:tcMar>
              <w:top w:w="100" w:type="dxa"/>
              <w:bottom w:w="100" w:type="dxa"/>
              <w:left w:w="100" w:type="dxa"/>
              <w:right w:w="100" w:type="dxa"/>
            </w:tcMar>
          </w:tcPr>
          <w:p>
            <w:r>
              <w:rPr>
                <w:rFonts w:ascii="Calibri" w:hAnsi="Calibri"/>
                <w:b/>
                <w:color w:val="FFFFFF"/>
                <w:sz w:val="20"/>
              </w:rPr>
              <w:t>RMSE</w:t>
            </w:r>
          </w:p>
        </w:tc>
        <w:tc>
          <w:tcPr>
            <w:tcW w:type="dxa" w:w="1872"/>
            <w:shd w:fill="1E3A8A"/>
            <w:tcMar>
              <w:top w:w="100" w:type="dxa"/>
              <w:bottom w:w="100" w:type="dxa"/>
              <w:left w:w="100" w:type="dxa"/>
              <w:right w:w="100" w:type="dxa"/>
            </w:tcMar>
          </w:tcPr>
          <w:p>
            <w:r>
              <w:rPr>
                <w:rFonts w:ascii="Calibri" w:hAnsi="Calibri"/>
                <w:b/>
                <w:color w:val="FFFFFF"/>
                <w:sz w:val="20"/>
              </w:rPr>
              <w:t>MAE</w:t>
            </w:r>
          </w:p>
        </w:tc>
        <w:tc>
          <w:tcPr>
            <w:tcW w:type="dxa" w:w="1872"/>
            <w:shd w:fill="1E3A8A"/>
            <w:tcMar>
              <w:top w:w="100" w:type="dxa"/>
              <w:bottom w:w="100" w:type="dxa"/>
              <w:left w:w="100" w:type="dxa"/>
              <w:right w:w="100" w:type="dxa"/>
            </w:tcMar>
          </w:tcPr>
          <w:p>
            <w:r>
              <w:rPr>
                <w:rFonts w:ascii="Calibri" w:hAnsi="Calibri"/>
                <w:b/>
                <w:color w:val="FFFFFF"/>
                <w:sz w:val="20"/>
              </w:rPr>
              <w:t>R² Score</w:t>
            </w:r>
          </w:p>
        </w:tc>
        <w:tc>
          <w:tcPr>
            <w:tcW w:type="dxa" w:w="1872"/>
            <w:shd w:fill="1E3A8A"/>
            <w:tcMar>
              <w:top w:w="100" w:type="dxa"/>
              <w:bottom w:w="100" w:type="dxa"/>
              <w:left w:w="100" w:type="dxa"/>
              <w:right w:w="100" w:type="dxa"/>
            </w:tcMar>
          </w:tcPr>
          <w:p>
            <w:r>
              <w:rPr>
                <w:rFonts w:ascii="Calibri" w:hAnsi="Calibri"/>
                <w:b/>
                <w:color w:val="FFFFFF"/>
                <w:sz w:val="20"/>
              </w:rPr>
              <w:t>Spearman (ρ)</w:t>
            </w:r>
          </w:p>
        </w:tc>
      </w:tr>
      <w:tr>
        <w:tc>
          <w:tcPr>
            <w:tcW w:type="dxa" w:w="1872"/>
            <w:shd w:fill="F9FAFB"/>
            <w:tcMar>
              <w:top w:w="80" w:type="dxa"/>
              <w:bottom w:w="80" w:type="dxa"/>
              <w:left w:w="100" w:type="dxa"/>
              <w:right w:w="100" w:type="dxa"/>
            </w:tcMar>
          </w:tcPr>
          <w:p>
            <w:r>
              <w:rPr>
                <w:rFonts w:ascii="Calibri" w:hAnsi="Calibri"/>
                <w:sz w:val="19"/>
              </w:rPr>
              <w:t>Baseline 1: Pure On-Time Heuristic</w:t>
            </w:r>
          </w:p>
        </w:tc>
        <w:tc>
          <w:tcPr>
            <w:tcW w:type="dxa" w:w="1872"/>
            <w:shd w:fill="F9FAFB"/>
            <w:tcMar>
              <w:top w:w="80" w:type="dxa"/>
              <w:bottom w:w="80" w:type="dxa"/>
              <w:left w:w="100" w:type="dxa"/>
              <w:right w:w="100" w:type="dxa"/>
            </w:tcMar>
          </w:tcPr>
          <w:p>
            <w:r>
              <w:rPr>
                <w:rFonts w:ascii="Calibri" w:hAnsi="Calibri"/>
                <w:sz w:val="19"/>
              </w:rPr>
              <w:t>12.005</w:t>
            </w:r>
          </w:p>
        </w:tc>
        <w:tc>
          <w:tcPr>
            <w:tcW w:type="dxa" w:w="1872"/>
            <w:shd w:fill="F9FAFB"/>
            <w:tcMar>
              <w:top w:w="80" w:type="dxa"/>
              <w:bottom w:w="80" w:type="dxa"/>
              <w:left w:w="100" w:type="dxa"/>
              <w:right w:w="100" w:type="dxa"/>
            </w:tcMar>
          </w:tcPr>
          <w:p>
            <w:r>
              <w:rPr>
                <w:rFonts w:ascii="Calibri" w:hAnsi="Calibri"/>
                <w:sz w:val="19"/>
              </w:rPr>
              <w:t>10.152 pts</w:t>
            </w:r>
          </w:p>
        </w:tc>
        <w:tc>
          <w:tcPr>
            <w:tcW w:type="dxa" w:w="1872"/>
            <w:shd w:fill="F9FAFB"/>
            <w:tcMar>
              <w:top w:w="80" w:type="dxa"/>
              <w:bottom w:w="80" w:type="dxa"/>
              <w:left w:w="100" w:type="dxa"/>
              <w:right w:w="100" w:type="dxa"/>
            </w:tcMar>
          </w:tcPr>
          <w:p>
            <w:r>
              <w:rPr>
                <w:rFonts w:ascii="Calibri" w:hAnsi="Calibri"/>
                <w:sz w:val="19"/>
              </w:rPr>
              <w:t>0.7877</w:t>
            </w:r>
          </w:p>
        </w:tc>
        <w:tc>
          <w:tcPr>
            <w:tcW w:type="dxa" w:w="1872"/>
            <w:shd w:fill="F9FAFB"/>
            <w:tcMar>
              <w:top w:w="80" w:type="dxa"/>
              <w:bottom w:w="80" w:type="dxa"/>
              <w:left w:w="100" w:type="dxa"/>
              <w:right w:w="100" w:type="dxa"/>
            </w:tcMar>
          </w:tcPr>
          <w:p>
            <w:r>
              <w:rPr>
                <w:rFonts w:ascii="Calibri" w:hAnsi="Calibri"/>
                <w:sz w:val="19"/>
              </w:rPr>
              <w:t>0.9560</w:t>
            </w:r>
          </w:p>
        </w:tc>
      </w:tr>
      <w:tr>
        <w:tc>
          <w:tcPr>
            <w:tcW w:type="dxa" w:w="1872"/>
            <w:shd w:fill="FFFFFF"/>
            <w:tcMar>
              <w:top w:w="80" w:type="dxa"/>
              <w:bottom w:w="80" w:type="dxa"/>
              <w:left w:w="100" w:type="dxa"/>
              <w:right w:w="100" w:type="dxa"/>
            </w:tcMar>
          </w:tcPr>
          <w:p>
            <w:r>
              <w:rPr>
                <w:rFonts w:ascii="Calibri" w:hAnsi="Calibri"/>
                <w:sz w:val="19"/>
              </w:rPr>
              <w:t>Baseline 2: Linear Delay Penalty Rule</w:t>
            </w:r>
          </w:p>
        </w:tc>
        <w:tc>
          <w:tcPr>
            <w:tcW w:type="dxa" w:w="1872"/>
            <w:shd w:fill="FFFFFF"/>
            <w:tcMar>
              <w:top w:w="80" w:type="dxa"/>
              <w:bottom w:w="80" w:type="dxa"/>
              <w:left w:w="100" w:type="dxa"/>
              <w:right w:w="100" w:type="dxa"/>
            </w:tcMar>
          </w:tcPr>
          <w:p>
            <w:r>
              <w:rPr>
                <w:rFonts w:ascii="Calibri" w:hAnsi="Calibri"/>
                <w:sz w:val="19"/>
              </w:rPr>
              <w:t>39.496</w:t>
            </w:r>
          </w:p>
        </w:tc>
        <w:tc>
          <w:tcPr>
            <w:tcW w:type="dxa" w:w="1872"/>
            <w:shd w:fill="FFFFFF"/>
            <w:tcMar>
              <w:top w:w="80" w:type="dxa"/>
              <w:bottom w:w="80" w:type="dxa"/>
              <w:left w:w="100" w:type="dxa"/>
              <w:right w:w="100" w:type="dxa"/>
            </w:tcMar>
          </w:tcPr>
          <w:p>
            <w:r>
              <w:rPr>
                <w:rFonts w:ascii="Calibri" w:hAnsi="Calibri"/>
                <w:sz w:val="19"/>
              </w:rPr>
              <w:t>36.966 pts</w:t>
            </w:r>
          </w:p>
        </w:tc>
        <w:tc>
          <w:tcPr>
            <w:tcW w:type="dxa" w:w="1872"/>
            <w:shd w:fill="FFFFFF"/>
            <w:tcMar>
              <w:top w:w="80" w:type="dxa"/>
              <w:bottom w:w="80" w:type="dxa"/>
              <w:left w:w="100" w:type="dxa"/>
              <w:right w:w="100" w:type="dxa"/>
            </w:tcMar>
          </w:tcPr>
          <w:p>
            <w:r>
              <w:rPr>
                <w:rFonts w:ascii="Calibri" w:hAnsi="Calibri"/>
                <w:sz w:val="19"/>
              </w:rPr>
              <w:t>-1.2975</w:t>
            </w:r>
          </w:p>
        </w:tc>
        <w:tc>
          <w:tcPr>
            <w:tcW w:type="dxa" w:w="1872"/>
            <w:shd w:fill="FFFFFF"/>
            <w:tcMar>
              <w:top w:w="80" w:type="dxa"/>
              <w:bottom w:w="80" w:type="dxa"/>
              <w:left w:w="100" w:type="dxa"/>
              <w:right w:w="100" w:type="dxa"/>
            </w:tcMar>
          </w:tcPr>
          <w:p>
            <w:r>
              <w:rPr>
                <w:rFonts w:ascii="Calibri" w:hAnsi="Calibri"/>
                <w:sz w:val="19"/>
              </w:rPr>
              <w:t>0.9312</w:t>
            </w:r>
          </w:p>
        </w:tc>
      </w:tr>
      <w:tr>
        <w:tc>
          <w:tcPr>
            <w:tcW w:type="dxa" w:w="1872"/>
            <w:shd w:fill="F9FAFB"/>
            <w:tcMar>
              <w:top w:w="80" w:type="dxa"/>
              <w:bottom w:w="80" w:type="dxa"/>
              <w:left w:w="100" w:type="dxa"/>
              <w:right w:w="100" w:type="dxa"/>
            </w:tcMar>
          </w:tcPr>
          <w:p>
            <w:r>
              <w:rPr>
                <w:rFonts w:ascii="Calibri" w:hAnsi="Calibri"/>
                <w:sz w:val="19"/>
              </w:rPr>
              <w:t>Baseline 3: Naive Global Mean</w:t>
            </w:r>
          </w:p>
        </w:tc>
        <w:tc>
          <w:tcPr>
            <w:tcW w:type="dxa" w:w="1872"/>
            <w:shd w:fill="F9FAFB"/>
            <w:tcMar>
              <w:top w:w="80" w:type="dxa"/>
              <w:bottom w:w="80" w:type="dxa"/>
              <w:left w:w="100" w:type="dxa"/>
              <w:right w:w="100" w:type="dxa"/>
            </w:tcMar>
          </w:tcPr>
          <w:p>
            <w:r>
              <w:rPr>
                <w:rFonts w:ascii="Calibri" w:hAnsi="Calibri"/>
                <w:sz w:val="19"/>
              </w:rPr>
              <w:t>26.057</w:t>
            </w:r>
          </w:p>
        </w:tc>
        <w:tc>
          <w:tcPr>
            <w:tcW w:type="dxa" w:w="1872"/>
            <w:shd w:fill="F9FAFB"/>
            <w:tcMar>
              <w:top w:w="80" w:type="dxa"/>
              <w:bottom w:w="80" w:type="dxa"/>
              <w:left w:w="100" w:type="dxa"/>
              <w:right w:w="100" w:type="dxa"/>
            </w:tcMar>
          </w:tcPr>
          <w:p>
            <w:r>
              <w:rPr>
                <w:rFonts w:ascii="Calibri" w:hAnsi="Calibri"/>
                <w:sz w:val="19"/>
              </w:rPr>
              <w:t>22.216 pts</w:t>
            </w:r>
          </w:p>
        </w:tc>
        <w:tc>
          <w:tcPr>
            <w:tcW w:type="dxa" w:w="1872"/>
            <w:shd w:fill="F9FAFB"/>
            <w:tcMar>
              <w:top w:w="80" w:type="dxa"/>
              <w:bottom w:w="80" w:type="dxa"/>
              <w:left w:w="100" w:type="dxa"/>
              <w:right w:w="100" w:type="dxa"/>
            </w:tcMar>
          </w:tcPr>
          <w:p>
            <w:r>
              <w:rPr>
                <w:rFonts w:ascii="Calibri" w:hAnsi="Calibri"/>
                <w:sz w:val="19"/>
              </w:rPr>
              <w:t>0.0000</w:t>
            </w:r>
          </w:p>
        </w:tc>
        <w:tc>
          <w:tcPr>
            <w:tcW w:type="dxa" w:w="1872"/>
            <w:shd w:fill="F9FAFB"/>
            <w:tcMar>
              <w:top w:w="80" w:type="dxa"/>
              <w:bottom w:w="80" w:type="dxa"/>
              <w:left w:w="100" w:type="dxa"/>
              <w:right w:w="100" w:type="dxa"/>
            </w:tcMar>
          </w:tcPr>
          <w:p>
            <w:r>
              <w:rPr>
                <w:rFonts w:ascii="Calibri" w:hAnsi="Calibri"/>
                <w:sz w:val="19"/>
              </w:rPr>
              <w:t>0.0000</w:t>
            </w:r>
          </w:p>
        </w:tc>
      </w:tr>
      <w:tr>
        <w:tc>
          <w:tcPr>
            <w:tcW w:type="dxa" w:w="1872"/>
            <w:shd w:fill="FFFFFF"/>
            <w:tcMar>
              <w:top w:w="80" w:type="dxa"/>
              <w:bottom w:w="80" w:type="dxa"/>
              <w:left w:w="100" w:type="dxa"/>
              <w:right w:w="100" w:type="dxa"/>
            </w:tcMar>
          </w:tcPr>
          <w:p>
            <w:r>
              <w:rPr>
                <w:rFonts w:ascii="Calibri" w:hAnsi="Calibri"/>
                <w:sz w:val="19"/>
              </w:rPr>
              <w:t>Baseline 4: Classical Ridge Regression</w:t>
            </w:r>
          </w:p>
        </w:tc>
        <w:tc>
          <w:tcPr>
            <w:tcW w:type="dxa" w:w="1872"/>
            <w:shd w:fill="FFFFFF"/>
            <w:tcMar>
              <w:top w:w="80" w:type="dxa"/>
              <w:bottom w:w="80" w:type="dxa"/>
              <w:left w:w="100" w:type="dxa"/>
              <w:right w:w="100" w:type="dxa"/>
            </w:tcMar>
          </w:tcPr>
          <w:p>
            <w:r>
              <w:rPr>
                <w:rFonts w:ascii="Calibri" w:hAnsi="Calibri"/>
                <w:sz w:val="19"/>
              </w:rPr>
              <w:t>1.657</w:t>
            </w:r>
          </w:p>
        </w:tc>
        <w:tc>
          <w:tcPr>
            <w:tcW w:type="dxa" w:w="1872"/>
            <w:shd w:fill="FFFFFF"/>
            <w:tcMar>
              <w:top w:w="80" w:type="dxa"/>
              <w:bottom w:w="80" w:type="dxa"/>
              <w:left w:w="100" w:type="dxa"/>
              <w:right w:w="100" w:type="dxa"/>
            </w:tcMar>
          </w:tcPr>
          <w:p>
            <w:r>
              <w:rPr>
                <w:rFonts w:ascii="Calibri" w:hAnsi="Calibri"/>
                <w:sz w:val="19"/>
              </w:rPr>
              <w:t>1.250 pts</w:t>
            </w:r>
          </w:p>
        </w:tc>
        <w:tc>
          <w:tcPr>
            <w:tcW w:type="dxa" w:w="1872"/>
            <w:shd w:fill="FFFFFF"/>
            <w:tcMar>
              <w:top w:w="80" w:type="dxa"/>
              <w:bottom w:w="80" w:type="dxa"/>
              <w:left w:w="100" w:type="dxa"/>
              <w:right w:w="100" w:type="dxa"/>
            </w:tcMar>
          </w:tcPr>
          <w:p>
            <w:r>
              <w:rPr>
                <w:rFonts w:ascii="Calibri" w:hAnsi="Calibri"/>
                <w:sz w:val="19"/>
              </w:rPr>
              <w:t>0.9960</w:t>
            </w:r>
          </w:p>
        </w:tc>
        <w:tc>
          <w:tcPr>
            <w:tcW w:type="dxa" w:w="1872"/>
            <w:shd w:fill="FFFFFF"/>
            <w:tcMar>
              <w:top w:w="80" w:type="dxa"/>
              <w:bottom w:w="80" w:type="dxa"/>
              <w:left w:w="100" w:type="dxa"/>
              <w:right w:w="100" w:type="dxa"/>
            </w:tcMar>
          </w:tcPr>
          <w:p>
            <w:r>
              <w:rPr>
                <w:rFonts w:ascii="Calibri" w:hAnsi="Calibri"/>
                <w:sz w:val="19"/>
              </w:rPr>
              <w:t>0.9955</w:t>
            </w:r>
          </w:p>
        </w:tc>
      </w:tr>
      <w:tr>
        <w:tc>
          <w:tcPr>
            <w:tcW w:type="dxa" w:w="1872"/>
            <w:shd w:fill="EFF6FF"/>
            <w:tcMar>
              <w:top w:w="80" w:type="dxa"/>
              <w:bottom w:w="80" w:type="dxa"/>
              <w:left w:w="100" w:type="dxa"/>
              <w:right w:w="100" w:type="dxa"/>
            </w:tcMar>
          </w:tcPr>
          <w:p>
            <w:r>
              <w:rPr>
                <w:rFonts w:ascii="Calibri" w:hAnsi="Calibri"/>
                <w:b/>
                <w:color w:val="1E40AF"/>
                <w:sz w:val="19"/>
              </w:rPr>
              <w:t>★ CashPredix Ensemble Model</w:t>
            </w:r>
          </w:p>
        </w:tc>
        <w:tc>
          <w:tcPr>
            <w:tcW w:type="dxa" w:w="1872"/>
            <w:shd w:fill="EFF6FF"/>
            <w:tcMar>
              <w:top w:w="80" w:type="dxa"/>
              <w:bottom w:w="80" w:type="dxa"/>
              <w:left w:w="100" w:type="dxa"/>
              <w:right w:w="100" w:type="dxa"/>
            </w:tcMar>
          </w:tcPr>
          <w:p>
            <w:r>
              <w:rPr>
                <w:rFonts w:ascii="Calibri" w:hAnsi="Calibri"/>
                <w:b/>
                <w:color w:val="1E40AF"/>
                <w:sz w:val="19"/>
              </w:rPr>
              <w:t>0.800</w:t>
            </w:r>
          </w:p>
        </w:tc>
        <w:tc>
          <w:tcPr>
            <w:tcW w:type="dxa" w:w="1872"/>
            <w:shd w:fill="EFF6FF"/>
            <w:tcMar>
              <w:top w:w="80" w:type="dxa"/>
              <w:bottom w:w="80" w:type="dxa"/>
              <w:left w:w="100" w:type="dxa"/>
              <w:right w:w="100" w:type="dxa"/>
            </w:tcMar>
          </w:tcPr>
          <w:p>
            <w:r>
              <w:rPr>
                <w:rFonts w:ascii="Calibri" w:hAnsi="Calibri"/>
                <w:b/>
                <w:color w:val="1E40AF"/>
                <w:sz w:val="19"/>
              </w:rPr>
              <w:t>0.605 pts</w:t>
            </w:r>
          </w:p>
        </w:tc>
        <w:tc>
          <w:tcPr>
            <w:tcW w:type="dxa" w:w="1872"/>
            <w:shd w:fill="EFF6FF"/>
            <w:tcMar>
              <w:top w:w="80" w:type="dxa"/>
              <w:bottom w:w="80" w:type="dxa"/>
              <w:left w:w="100" w:type="dxa"/>
              <w:right w:w="100" w:type="dxa"/>
            </w:tcMar>
          </w:tcPr>
          <w:p>
            <w:r>
              <w:rPr>
                <w:rFonts w:ascii="Calibri" w:hAnsi="Calibri"/>
                <w:b/>
                <w:color w:val="1E40AF"/>
                <w:sz w:val="19"/>
              </w:rPr>
              <w:t>0.9991</w:t>
            </w:r>
          </w:p>
        </w:tc>
        <w:tc>
          <w:tcPr>
            <w:tcW w:type="dxa" w:w="1872"/>
            <w:shd w:fill="EFF6FF"/>
            <w:tcMar>
              <w:top w:w="80" w:type="dxa"/>
              <w:bottom w:w="80" w:type="dxa"/>
              <w:left w:w="100" w:type="dxa"/>
              <w:right w:w="100" w:type="dxa"/>
            </w:tcMar>
          </w:tcPr>
          <w:p>
            <w:r>
              <w:rPr>
                <w:rFonts w:ascii="Calibri" w:hAnsi="Calibri"/>
                <w:b/>
                <w:color w:val="1E40AF"/>
                <w:sz w:val="19"/>
              </w:rPr>
              <w:t>0.9992</w:t>
            </w:r>
          </w:p>
        </w:tc>
      </w:tr>
    </w:tbl>
    <w:p>
      <w:pPr>
        <w:spacing w:before="200" w:after="80"/>
      </w:pPr>
      <w:r>
        <w:rPr>
          <w:rFonts w:ascii="Calibri" w:hAnsi="Calibri"/>
          <w:b/>
          <w:color w:val="1E3A8A"/>
        </w:rPr>
        <w:t xml:space="preserve">5-Fold Cross-Validation Metrics: </w:t>
      </w:r>
    </w:p>
    <w:p>
      <w:pPr>
        <w:spacing w:line="276" w:lineRule="auto" w:after="200"/>
      </w:pPr>
      <w:r>
        <w:t>• Mean R² Score: 0.9859 ± 0.006 (Consistently superior fit across all test splits)</w:t>
        <w:br/>
        <w:t>• Mean Absolute Error (MAE): 2.106 ± 0.517 points on a 100-point scale</w:t>
        <w:br/>
        <w:t>• Mean Root Mean Squared Error (RMSE): 2.958 ± 0.701</w:t>
        <w:br/>
        <w:t>• Mean Rank Correlation (Spearman ρ): 0.9919 (Preserves true credit rank ordering)</w:t>
        <w:br/>
        <w:t>• Monotonicity Sanity Check: Delay-to-Score correlation = -0.9231 (Strict inverse relationship)</w:t>
      </w:r>
    </w:p>
    <w:p>
      <w:pPr>
        <w:pStyle w:val="Heading1"/>
        <w:spacing w:before="280" w:after="120"/>
      </w:pPr>
      <w:r>
        <w:t>5. Next Sprint Roadmap: Week 5 Preview</w:t>
      </w:r>
    </w:p>
    <w:p>
      <w:pPr>
        <w:spacing w:line="276" w:lineRule="auto" w:after="280"/>
      </w:pPr>
      <w:r>
        <w:t>With the core Behavioral Reliability Scoring Engine operational and validated, Week 5 development will advance to time-series cashflow modeling:</w:t>
        <w:br/>
        <w:t>1. Task #21: Time-series dataset aggregation, grouping daily AP/AR cash transactions.</w:t>
        <w:br/>
        <w:t>2. Task #22: Baseline ARIMA/SARIMA models and modern recurrent forecasting architectures.</w:t>
        <w:br/>
        <w:t>3. Task #23: Rolling-window model backtesting, MAPE evaluation, and 30-day runway projection.</w:t>
        <w:br/>
        <w:t>4. Task #52: Week 5 comprehensive progress documentation.</w:t>
      </w:r>
    </w:p>
    <w:p>
      <w:r>
        <w:rPr>
          <w:i/>
          <w:color w:val="4B5563"/>
          <w:sz w:val="19"/>
        </w:rPr>
        <w:t>Report compiled and submitted by Merve Gazi for academic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